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Package 2 of 3 — ART Compulsory Process (Summonses)</w:t>
      </w:r>
    </w:p>
    <w:p>
      <w:pPr>
        <w:spacing w:after="120"/>
      </w:pPr>
      <w:r>
        <w:rPr>
          <w:i/>
          <w:iCs/>
          <w:color w:val="595959"/>
          <w:sz w:val="18"/>
          <w:szCs w:val="18"/>
        </w:rPr>
        <w:t xml:space="preserve">Reid v NDIS Commission (ART 2023/3361, 2023/3363, 2023/4494) · 26 June 2026 · drafts for settling by counsel</w:t>
      </w:r>
    </w:p>
    <w:p>
      <w:pPr>
        <w:shd w:fill="BF8F00" w:val="clear"/>
        <w:spacing w:after="160" w:before="40"/>
        <w:jc w:val="center"/>
      </w:pPr>
      <w:r>
        <w:rPr>
          <w:b/>
          <w:bCs/>
          <w:color w:val="FFFFFF"/>
          <w:sz w:val="24"/>
          <w:szCs w:val="24"/>
        </w:rPr>
        <w:t xml:space="preserve">STATUS: HOLD — FILE ONLY AFTER THE STAY/SEVERANCE AND s 70 (LPP) DECISIONS</w:t>
      </w:r>
    </w:p>
    <w:p>
      <w:pPr>
        <w:spacing w:after="60"/>
      </w:pPr>
      <w:r>
        <w:rPr>
          <w:b/>
          <w:bCs/>
          <w:color w:val="1F3864"/>
          <w:sz w:val="19"/>
          <w:szCs w:val="19"/>
        </w:rPr>
        <w:t xml:space="preserve">EXPLAINER FOR THE LEGAL TEAM</w:t>
      </w:r>
    </w:p>
    <w:p>
      <w:pPr>
        <w:spacing w:after="50"/>
      </w:pPr>
      <w:r>
        <w:rPr>
          <w:b/>
          <w:bCs/>
        </w:rPr>
        <w:t xml:space="preserve">What this is: </w:t>
      </w:r>
      <w:r>
        <w:t xml:space="preserve">The ART instruments that drag the NDIA, Halls and Lundgren into the on-foot review without them being parties: a s 74 summons request with five document schedules, a s 23 lodgement demand, and the own-or-disclaim election letter.</w:t>
      </w:r>
    </w:p>
    <w:p>
      <w:pPr>
        <w:spacing w:after="50"/>
      </w:pPr>
      <w:r>
        <w:rPr>
          <w:b/>
          <w:bCs/>
        </w:rPr>
        <w:t xml:space="preserve">Why it works: </w:t>
      </w:r>
      <w:r>
        <w:t xml:space="preserve">You cannot review the NDIA in the ART — but you can attack the independence and reliability of the NDIA-sourced evidence the Commission adopted, and s 74 lets the Tribunal summons non-parties (including Halls and Lundgren personally) to produce and give evidence.</w:t>
      </w:r>
    </w:p>
    <w:p>
      <w:pPr>
        <w:spacing w:after="50"/>
      </w:pPr>
      <w:r>
        <w:rPr>
          <w:b/>
          <w:bCs/>
        </w:rPr>
        <w:t xml:space="preserve">Why hold it: </w:t>
      </w:r>
      <w:r>
        <w:t xml:space="preserve">Two decisions are reserved before the Deputy President — the stay/severance (under consideration since 22 April 2026) and the Respondent’s s 70 non-disclosure application over Attachment O (EC22-002103) and Attachment G (EC22-002521) (before the DP since 19 May 2026; opposition ref 4MY6NN). Issuing summonses now risks antagonising the bench and a stay of the summonses; and the s 70 (LPP) ruling defines what is privileged, which sets summons scope. File once both land.</w:t>
      </w:r>
    </w:p>
    <w:p>
      <w:pPr>
        <w:spacing w:after="50"/>
      </w:pPr>
      <w:r>
        <w:rPr>
          <w:b/>
          <w:bCs/>
        </w:rPr>
        <w:t xml:space="preserve">Trigger to release: </w:t>
      </w:r>
      <w:r>
        <w:t xml:space="preserve">The handing down of both reserved decisions. On that day, finalise scope against the LPP ruling and lodge.</w:t>
      </w:r>
    </w:p>
    <w:p>
      <w:pPr>
        <w:spacing w:after="50"/>
      </w:pPr>
      <w:r>
        <w:rPr>
          <w:b/>
          <w:bCs/>
        </w:rPr>
        <w:t xml:space="preserve">Verify first: </w:t>
      </w:r>
      <w:r>
        <w:t xml:space="preserve">Confirm the current ART summons form; re-confirm the EC22-002103/Project Archer quotations and Lundgren’s role; settle scope with counsel.</w:t>
      </w:r>
    </w:p>
    <w:p>
      <w:pPr>
        <w:pBdr>
          <w:bottom w:val="single" w:color="1F3864" w:sz="8" w:space="1"/>
        </w:pBdr>
        <w:spacing w:after="160" w:before="100"/>
      </w:pPr>
      <w:r>
        <w:t xml:space="preserve"/>
      </w:r>
    </w:p>
    <w:p>
      <w:pPr>
        <w:pStyle w:val="Heading1"/>
      </w:pPr>
      <w:r>
        <w:t xml:space="preserve">Instrument 1 — Request to issue summonses to produce (ART Act 2024, s 74)</w:t>
      </w:r>
    </w:p>
    <w:p>
      <w:pPr>
        <w:spacing w:after="0"/>
      </w:pPr>
      <w:r>
        <w:rPr>
          <w:b/>
          <w:bCs/>
          <w:color w:val="1F3864"/>
          <w:sz w:val="19"/>
          <w:szCs w:val="19"/>
        </w:rPr>
        <w:t xml:space="preserve">To:  </w:t>
      </w:r>
      <w:r>
        <w:rPr>
          <w:sz w:val="19"/>
          <w:szCs w:val="19"/>
        </w:rPr>
        <w:t xml:space="preserve">Brisbane Registry, Administrative Review Tribunal (brisbane.registry@art.gov.au)</w:t>
      </w:r>
    </w:p>
    <w:p>
      <w:pPr>
        <w:spacing w:after="0"/>
      </w:pPr>
      <w:r>
        <w:rPr>
          <w:b/>
          <w:bCs/>
          <w:color w:val="1F3864"/>
          <w:sz w:val="19"/>
          <w:szCs w:val="19"/>
        </w:rPr>
        <w:t xml:space="preserve">Cc:  </w:t>
      </w:r>
      <w:r>
        <w:rPr>
          <w:sz w:val="19"/>
          <w:szCs w:val="19"/>
        </w:rPr>
        <w:t xml:space="preserve">C. Land / K. Dickinson, AGS; legal@ndiscommission.gov.au</w:t>
      </w:r>
    </w:p>
    <w:p>
      <w:pPr>
        <w:spacing w:after="0"/>
      </w:pPr>
      <w:r>
        <w:rPr>
          <w:b/>
          <w:bCs/>
          <w:color w:val="1F3864"/>
          <w:sz w:val="19"/>
          <w:szCs w:val="19"/>
        </w:rPr>
        <w:t xml:space="preserve">From:  </w:t>
      </w:r>
      <w:r>
        <w:rPr>
          <w:sz w:val="19"/>
          <w:szCs w:val="19"/>
        </w:rPr>
        <w:t xml:space="preserve">Simon Reid (2023/3363); Vida Reid (2023/3361); Forward Focused Group Pty Ltd (2023/4494)</w:t>
      </w:r>
    </w:p>
    <w:p>
      <w:pPr>
        <w:spacing w:after="0"/>
      </w:pPr>
      <w:r>
        <w:rPr>
          <w:b/>
          <w:bCs/>
          <w:color w:val="1F3864"/>
          <w:sz w:val="19"/>
          <w:szCs w:val="19"/>
        </w:rPr>
        <w:t xml:space="preserve">Re:  </w:t>
      </w:r>
      <w:r>
        <w:rPr>
          <w:sz w:val="19"/>
          <w:szCs w:val="19"/>
        </w:rPr>
        <w:t xml:space="preserve">Request under s 74 of the Administrative Review Tribunal Act 2024 for summonses to produce documents</w:t>
      </w:r>
    </w:p>
    <w:p>
      <w:pPr>
        <w:spacing w:after="120"/>
      </w:pPr>
      <w:r>
        <w:t xml:space="preserve"/>
      </w:r>
    </w:p>
    <w:p>
      <w:pPr>
        <w:spacing w:after="120"/>
      </w:pPr>
      <w:r>
        <w:t xml:space="preserve">Dear Registrar,</w:t>
      </w:r>
    </w:p>
    <w:p>
      <w:pPr>
        <w:spacing w:after="120"/>
      </w:pPr>
      <w:r>
        <w:t xml:space="preserve">Pursuant to s 74 of the </w:t>
      </w:r>
      <w:r>
        <w:rPr>
          <w:i/>
          <w:iCs/>
        </w:rPr>
        <w:t xml:space="preserve">Administrative Review Tribunal Act 2024</w:t>
      </w:r>
      <w:r>
        <w:t xml:space="preserve"> (Cth), the applicants request that the Tribunal issue summonses to produce documents to the persons below. There are reasonable grounds to believe each holds documents relevant to these proceedings: the Respondent’s own decision brief records that its evidence “draws upon statements obtained and provided by the NDIA,” that “the NDIA currently has an investigation ongoing,” and that “the Provider Exit Protocol has been actioned with the NDIA.” The reliability and independence of that NDIA-sourced material is squarely in issue.</w:t>
      </w:r>
    </w:p>
    <w:p>
      <w:pPr>
        <w:spacing w:after="120"/>
      </w:pPr>
      <w:r>
        <w:t xml:space="preserve">Each is sought as a summons to </w:t>
      </w:r>
      <w:r>
        <w:rPr>
          <w:b/>
          <w:bCs/>
        </w:rPr>
        <w:t xml:space="preserve">produce documents</w:t>
      </w:r>
      <w:r>
        <w:t xml:space="preserve"> at this stage; the applicants foreshadow summonses for </w:t>
      </w:r>
      <w:r>
        <w:rPr>
          <w:b/>
          <w:bCs/>
        </w:rPr>
        <w:t xml:space="preserve">Mr Halls</w:t>
      </w:r>
      <w:r>
        <w:t xml:space="preserve"> and </w:t>
      </w:r>
      <w:r>
        <w:rPr>
          <w:b/>
          <w:bCs/>
        </w:rPr>
        <w:t xml:space="preserve">Ms Lundgren</w:t>
      </w:r>
      <w:r>
        <w:t xml:space="preserve"> to give oral evidence once produced documents are reviewed. Production must be at least 14 days after a summons is given; a recipient may produce in advance; inspection is governed by s 78.</w:t>
      </w:r>
    </w:p>
    <w:p>
      <w:pPr>
        <w:pStyle w:val="Heading2"/>
      </w:pPr>
      <w:r>
        <w:t xml:space="preserve">Schedule A — National Disability Insurance Agency</w:t>
      </w:r>
    </w:p>
    <w:p>
      <w:pPr>
        <w:spacing w:after="60"/>
      </w:pPr>
      <w:r>
        <w:rPr>
          <w:i/>
          <w:iCs/>
        </w:rPr>
        <w:t xml:space="preserve">Period: 1 February 2022 – 31 March 2023 (items 6–7 to date). Produce:</w:t>
      </w:r>
    </w:p>
    <w:p>
      <w:pPr>
        <w:spacing w:after="80"/>
        <w:ind w:left="600" w:hanging="340"/>
      </w:pPr>
      <w:r>
        <w:t xml:space="preserve">1. </w:t>
      </w:r>
      <w:r>
        <w:t xml:space="preserve">All documents recording the decision to undertake a “coordinated provider exit” concerning FFG or the Reids, its authorisation and criteria, and the “Provider Exit Protocol” and any record of its application to FFG.</w:t>
      </w:r>
    </w:p>
    <w:p>
      <w:pPr>
        <w:spacing w:after="80"/>
        <w:ind w:left="600" w:hanging="340"/>
      </w:pPr>
      <w:r>
        <w:t xml:space="preserve">2. </w:t>
      </w:r>
      <w:r>
        <w:t xml:space="preserve">All documents recording the “request for service” or reallocation of FFG participants to Diversitas WA and/or Nurse Assist 24/7, including any record that the reallocation to Diversitas was made “at the request of the agency.”</w:t>
      </w:r>
    </w:p>
    <w:p>
      <w:pPr>
        <w:spacing w:after="80"/>
        <w:ind w:left="600" w:hanging="340"/>
      </w:pPr>
      <w:r>
        <w:t xml:space="preserve">3. </w:t>
      </w:r>
      <w:r>
        <w:t xml:space="preserve">All communications between any NDIA officer (incl. Halls, Lundgren, Graydon, Jarratt) and any of Diversitas WA, Nurse Assist 24/7, Sukhi Tear, Amanda Damon, Terri Roberts or Pieter Rossouw concerning FFG or the Reids.</w:t>
      </w:r>
    </w:p>
    <w:p>
      <w:pPr>
        <w:spacing w:after="80"/>
        <w:ind w:left="600" w:hanging="340"/>
      </w:pPr>
      <w:r>
        <w:t xml:space="preserve">4. </w:t>
      </w:r>
      <w:r>
        <w:t xml:space="preserve">All records of any “alert,” “consent removal,” or flag placed on participant records in relation to FFG before 21 December 2022.</w:t>
      </w:r>
    </w:p>
    <w:p>
      <w:pPr>
        <w:spacing w:after="80"/>
        <w:ind w:left="600" w:hanging="340"/>
      </w:pPr>
      <w:r>
        <w:t xml:space="preserve">5. </w:t>
      </w:r>
      <w:r>
        <w:t xml:space="preserve">The Tactical Intelligence Report (18 August 2022), the Statement of Material Facts (19 October 2022), and the “Project Archer” source file. </w:t>
      </w:r>
      <w:r>
        <w:rPr>
          <w:i/>
          <w:iCs/>
          <w:color w:val="595959"/>
        </w:rPr>
        <w:t xml:space="preserve">[Subject to the 26 July 2024 non-disclosure orders — discharge/qualify first; included to preserve the position.]</w:t>
      </w:r>
    </w:p>
    <w:p>
      <w:pPr>
        <w:spacing w:after="80"/>
        <w:ind w:left="600" w:hanging="340"/>
      </w:pPr>
      <w:r>
        <w:t xml:space="preserve">6. </w:t>
      </w:r>
      <w:r>
        <w:t xml:space="preserve">All documents recording the existence and status of any NDIA investigation concerning the Reids or FFG as at 11 March 2025.</w:t>
      </w:r>
    </w:p>
    <w:p>
      <w:pPr>
        <w:spacing w:after="80"/>
        <w:ind w:left="600" w:hanging="340"/>
      </w:pPr>
      <w:r>
        <w:t xml:space="preserve">7. </w:t>
      </w:r>
      <w:r>
        <w:t xml:space="preserve">Any conflict-of-interest declaration made by, or required of, any officer involved in provider selection, including Halls and Lundgren.</w:t>
      </w:r>
    </w:p>
    <w:p>
      <w:pPr>
        <w:pStyle w:val="Heading2"/>
      </w:pPr>
      <w:r>
        <w:t xml:space="preserve">Schedule B — Nathan Halls (NDIA, Assistant Director, Participant Solutions, WA Operations)</w:t>
      </w:r>
    </w:p>
    <w:p>
      <w:pPr>
        <w:spacing w:after="60"/>
      </w:pPr>
      <w:r>
        <w:rPr>
          <w:i/>
          <w:iCs/>
        </w:rPr>
        <w:t xml:space="preserve">Period: 1 February 2022 – 31 March 2023. Produce:</w:t>
      </w:r>
    </w:p>
    <w:p>
      <w:pPr>
        <w:spacing w:after="80"/>
        <w:ind w:left="600" w:hanging="340"/>
      </w:pPr>
      <w:r>
        <w:t xml:space="preserve">1. </w:t>
      </w:r>
      <w:r>
        <w:t xml:space="preserve">All emails, Teams messages, file/case notes authored, sent or received by him concerning FFG or the Reids, including the email of 16 August 2022 (“…at the request of the agency via a request for service”) and the email of 29 September 2022 (“I am leading a coordinated provider exit on behalf of the NDIA”).</w:t>
      </w:r>
    </w:p>
    <w:p>
      <w:pPr>
        <w:spacing w:after="80"/>
        <w:ind w:left="600" w:hanging="340"/>
      </w:pPr>
      <w:r>
        <w:t xml:space="preserve">2. </w:t>
      </w:r>
      <w:r>
        <w:t xml:space="preserve">All documents recording any direction by him to freeze, hold or cease payments to or in respect of FFG-linked participant plans, and the authority relied on.</w:t>
      </w:r>
    </w:p>
    <w:p>
      <w:pPr>
        <w:spacing w:after="80"/>
        <w:ind w:left="600" w:hanging="340"/>
      </w:pPr>
      <w:r>
        <w:t xml:space="preserve">3. </w:t>
      </w:r>
      <w:r>
        <w:t xml:space="preserve">All his communications with Diversitas WA, Nurse Assist 24/7, Sukhi Tear, Amanda Damon, Terri Roberts and Pieter Rossouw concerning FFG or the Reids.</w:t>
      </w:r>
    </w:p>
    <w:p>
      <w:pPr>
        <w:spacing w:after="80"/>
        <w:ind w:left="600" w:hanging="340"/>
      </w:pPr>
      <w:r>
        <w:t xml:space="preserve">4. </w:t>
      </w:r>
      <w:r>
        <w:t xml:space="preserve">Any conflict-of-interest declaration made by, or required of, him in relation to the replacement providers.</w:t>
      </w:r>
    </w:p>
    <w:p>
      <w:pPr>
        <w:pStyle w:val="Heading2"/>
      </w:pPr>
      <w:r>
        <w:t xml:space="preserve">Schedule C — Barbara Lundgren (NDIA)</w:t>
      </w:r>
    </w:p>
    <w:p>
      <w:pPr>
        <w:spacing w:after="60"/>
      </w:pPr>
      <w:r>
        <w:rPr>
          <w:i/>
          <w:iCs/>
        </w:rPr>
        <w:t xml:space="preserve">Period: 1 August 2022 – 31 March 2023. Produce:</w:t>
      </w:r>
    </w:p>
    <w:p>
      <w:pPr>
        <w:spacing w:after="80"/>
        <w:ind w:left="600" w:hanging="340"/>
      </w:pPr>
      <w:r>
        <w:t xml:space="preserve">1. </w:t>
      </w:r>
      <w:r>
        <w:t xml:space="preserve">All documents recording her communication of 6 October 2022 to the effect that “the Agency has not directed Assist Plan Managers to cease all payments,” and any document recording who did direct, authorise or implement any freeze, hold or cessation of payments in respect of FFG-linked plans.</w:t>
      </w:r>
    </w:p>
    <w:p>
      <w:pPr>
        <w:spacing w:after="80"/>
        <w:ind w:left="600" w:hanging="340"/>
      </w:pPr>
      <w:r>
        <w:t xml:space="preserve">2. </w:t>
      </w:r>
      <w:r>
        <w:t xml:space="preserve">All her communications with Mr Halls concerning FFG, the Reids, the provider exit, or participant payments.</w:t>
      </w:r>
    </w:p>
    <w:p>
      <w:pPr>
        <w:pStyle w:val="Heading2"/>
      </w:pPr>
      <w:r>
        <w:t xml:space="preserve">Schedule D — Bruce Graydon (NDIA, A/Director, Fraud Investigation)</w:t>
      </w:r>
    </w:p>
    <w:p>
      <w:pPr>
        <w:spacing w:after="60"/>
      </w:pPr>
      <w:r>
        <w:rPr>
          <w:i/>
          <w:iCs/>
        </w:rPr>
        <w:t xml:space="preserve">Period: 1 February 2022 – 31 March 2023. Produce:</w:t>
      </w:r>
    </w:p>
    <w:p>
      <w:pPr>
        <w:spacing w:after="80"/>
        <w:ind w:left="600" w:hanging="340"/>
      </w:pPr>
      <w:r>
        <w:t xml:space="preserve">1. </w:t>
      </w:r>
      <w:r>
        <w:t xml:space="preserve">The NDIA fraud-investigation file and any referrals concerning FFG or the Reids to which the Respondent’s decision brief routed disclosure.</w:t>
      </w:r>
    </w:p>
    <w:p>
      <w:pPr>
        <w:spacing w:after="80"/>
        <w:ind w:left="600" w:hanging="340"/>
      </w:pPr>
      <w:r>
        <w:t xml:space="preserve">2. </w:t>
      </w:r>
      <w:r>
        <w:t xml:space="preserve">All communications between him (or NDIA Fraud) and the NDIS Quality and Safeguards Commission concerning FFG or the Reids.</w:t>
      </w:r>
    </w:p>
    <w:p>
      <w:pPr>
        <w:pStyle w:val="Heading2"/>
      </w:pPr>
      <w:r>
        <w:t xml:space="preserve">Schedule E — Tim Jarratt (NDIA, Senior Investigator, Fraud Intelligence, Melbourne)</w:t>
      </w:r>
    </w:p>
    <w:p>
      <w:pPr>
        <w:spacing w:after="60"/>
      </w:pPr>
      <w:r>
        <w:rPr>
          <w:i/>
          <w:iCs/>
        </w:rPr>
        <w:t xml:space="preserve">Period: 1 September 2022 – 31 March 2023. Produce:</w:t>
      </w:r>
    </w:p>
    <w:p>
      <w:pPr>
        <w:spacing w:after="80"/>
        <w:ind w:left="600" w:hanging="340"/>
      </w:pPr>
      <w:r>
        <w:t xml:space="preserve">1. </w:t>
      </w:r>
      <w:r>
        <w:t xml:space="preserve">All documents recording contact with, or canvassing of, FFG (and Hybrid Hive) participants on or about 7 October 2022, and any information so obtained.</w:t>
      </w:r>
    </w:p>
    <w:p>
      <w:pPr>
        <w:spacing w:after="80"/>
        <w:ind w:left="600" w:hanging="340"/>
      </w:pPr>
      <w:r>
        <w:t xml:space="preserve">2. </w:t>
      </w:r>
      <w:r>
        <w:t xml:space="preserve">All his communications with Diversitas WA or Nurse Assist 24/7 concerning FFG or the Reids.</w:t>
      </w:r>
    </w:p>
    <w:p>
      <w:pPr>
        <w:pBdr>
          <w:bottom w:val="single" w:color="1F3864" w:sz="8" w:space="1"/>
        </w:pBdr>
        <w:spacing w:after="160" w:before="100"/>
      </w:pPr>
      <w:r>
        <w:t xml:space="preserve"/>
      </w:r>
    </w:p>
    <w:p>
      <w:pPr>
        <w:pStyle w:val="Heading1"/>
      </w:pPr>
      <w:r>
        <w:t xml:space="preserve">Instrument 2 — Demand for full lodgement of relevant documents (ART Act 2024, s 23)</w:t>
      </w:r>
    </w:p>
    <w:p>
      <w:pPr>
        <w:spacing w:after="0"/>
      </w:pPr>
      <w:r>
        <w:rPr>
          <w:b/>
          <w:bCs/>
          <w:color w:val="1F3864"/>
          <w:sz w:val="19"/>
          <w:szCs w:val="19"/>
        </w:rPr>
        <w:t xml:space="preserve">To:  </w:t>
      </w:r>
      <w:r>
        <w:rPr>
          <w:sz w:val="19"/>
          <w:szCs w:val="19"/>
        </w:rPr>
        <w:t xml:space="preserve">C. Land / K. Dickinson, AGS (for the Respondent)</w:t>
      </w:r>
    </w:p>
    <w:p>
      <w:pPr>
        <w:spacing w:after="0"/>
      </w:pPr>
      <w:r>
        <w:rPr>
          <w:b/>
          <w:bCs/>
          <w:color w:val="1F3864"/>
          <w:sz w:val="19"/>
          <w:szCs w:val="19"/>
        </w:rPr>
        <w:t xml:space="preserve">Cc:  </w:t>
      </w:r>
      <w:r>
        <w:rPr>
          <w:sz w:val="19"/>
          <w:szCs w:val="19"/>
        </w:rPr>
        <w:t xml:space="preserve">Brisbane Registry, ART; legal@ndiscommission.gov.au</w:t>
      </w:r>
    </w:p>
    <w:p>
      <w:pPr>
        <w:spacing w:after="120"/>
      </w:pPr>
      <w:r>
        <w:t xml:space="preserve"/>
      </w:r>
    </w:p>
    <w:p>
      <w:pPr>
        <w:spacing w:after="120"/>
      </w:pPr>
      <w:r>
        <w:t xml:space="preserve">Dear Colleagues,</w:t>
      </w:r>
    </w:p>
    <w:p>
      <w:pPr>
        <w:spacing w:after="120"/>
      </w:pPr>
      <w:r>
        <w:t xml:space="preserve">Under s 23 of the </w:t>
      </w:r>
      <w:r>
        <w:rPr>
          <w:i/>
          <w:iCs/>
        </w:rPr>
        <w:t xml:space="preserve">Administrative Review Tribunal Act 2024</w:t>
      </w:r>
      <w:r>
        <w:t xml:space="preserve"> (Cth), the Respondent must give the Tribunal every document in its possession or control relevant to the review. On the Respondent’s own brief, its evidence “draws upon statements obtained and provided by the NDIA,” the “Provider Exit Protocol has been actioned with the NDIA,” and disclosure was routed to the NDIA’s A/Director, Fraud Investigation. That NDIA-sourced material is the foundation of the decisions under review and is within the lodgement duty.</w:t>
      </w:r>
    </w:p>
    <w:p>
      <w:pPr>
        <w:spacing w:after="120"/>
      </w:pPr>
      <w:r>
        <w:t xml:space="preserve">The applicants require, within 14 days:</w:t>
      </w:r>
    </w:p>
    <w:p>
      <w:pPr>
        <w:spacing w:after="80"/>
        <w:ind w:left="600" w:hanging="340"/>
      </w:pPr>
      <w:r>
        <w:t xml:space="preserve">(a) </w:t>
      </w:r>
      <w:r>
        <w:t xml:space="preserve">a supplementary lodgement of every document the Respondent received from, or exchanged with, the NDIA that bears on the banning decisions, including the statements “obtained and provided by the NDIA,” the Statement of Material Facts (19 October 2022), the Tactical Intelligence Report (18 August 2022), and the Provider Exit Protocol;</w:t>
      </w:r>
    </w:p>
    <w:p>
      <w:pPr>
        <w:spacing w:after="80"/>
        <w:ind w:left="600" w:hanging="340"/>
      </w:pPr>
      <w:r>
        <w:t xml:space="preserve">(b) </w:t>
      </w:r>
      <w:r>
        <w:t xml:space="preserve">a schedule identifying, for any such document withheld, the document and the precise basis on which it is said to fall outside s 23 or to be exempt; and</w:t>
      </w:r>
    </w:p>
    <w:p>
      <w:pPr>
        <w:spacing w:after="80"/>
        <w:ind w:left="600" w:hanging="340"/>
      </w:pPr>
      <w:r>
        <w:t xml:space="preserve">(c) </w:t>
      </w:r>
      <w:r>
        <w:t xml:space="preserve">confirmation of whether the eight categories of the applicants’ documents acknowledged on 7 May 2026 to have been “inadvertently omitted” from the certified tender bundle have since been lodged, and if not, when.</w:t>
      </w:r>
    </w:p>
    <w:p>
      <w:pPr>
        <w:spacing w:after="120"/>
      </w:pPr>
      <w:r>
        <w:t xml:space="preserve">This request is made having regard to the Respondent’s model-litigant obligations. The applicants reserve the right to seek directions and to rely on any non-compliance.</w:t>
      </w:r>
    </w:p>
    <w:p>
      <w:pPr>
        <w:pBdr>
          <w:bottom w:val="single" w:color="1F3864" w:sz="8" w:space="1"/>
        </w:pBdr>
        <w:spacing w:after="160" w:before="100"/>
      </w:pPr>
      <w:r>
        <w:t xml:space="preserve"/>
      </w:r>
    </w:p>
    <w:p>
      <w:pPr>
        <w:pStyle w:val="Heading1"/>
      </w:pPr>
      <w:r>
        <w:t xml:space="preserve">Instrument 3 — The “own-or-disclaim” election letter</w:t>
      </w:r>
    </w:p>
    <w:p>
      <w:pPr>
        <w:spacing w:after="0"/>
      </w:pPr>
      <w:r>
        <w:rPr>
          <w:b/>
          <w:bCs/>
          <w:color w:val="1F3864"/>
          <w:sz w:val="19"/>
          <w:szCs w:val="19"/>
        </w:rPr>
        <w:t xml:space="preserve">To:  </w:t>
      </w:r>
      <w:r>
        <w:rPr>
          <w:sz w:val="19"/>
          <w:szCs w:val="19"/>
        </w:rPr>
        <w:t xml:space="preserve">C. Land / K. Dickinson, AGS (for the Respondent)</w:t>
      </w:r>
    </w:p>
    <w:p>
      <w:pPr>
        <w:spacing w:after="0"/>
      </w:pPr>
      <w:r>
        <w:rPr>
          <w:b/>
          <w:bCs/>
          <w:color w:val="1F3864"/>
          <w:sz w:val="19"/>
          <w:szCs w:val="19"/>
        </w:rPr>
        <w:t xml:space="preserve">Cc:  </w:t>
      </w:r>
      <w:r>
        <w:rPr>
          <w:sz w:val="19"/>
          <w:szCs w:val="19"/>
        </w:rPr>
        <w:t xml:space="preserve">Brisbane Registry, ART; legal@ndiscommission.gov.au</w:t>
      </w:r>
    </w:p>
    <w:p>
      <w:pPr>
        <w:spacing w:after="120"/>
      </w:pPr>
      <w:r>
        <w:t xml:space="preserve"/>
      </w:r>
    </w:p>
    <w:p>
      <w:pPr>
        <w:spacing w:after="120"/>
      </w:pPr>
      <w:r>
        <w:t xml:space="preserve">Dear Colleagues,</w:t>
      </w:r>
    </w:p>
    <w:p>
      <w:pPr>
        <w:spacing w:after="120"/>
      </w:pPr>
      <w:r>
        <w:t xml:space="preserve">The applicants write to ascertain the Respondent’s position on a matter central to the review: whether it adopts, as reliable and independent, the NDIA-sourced material on which its decisions rest. The request is put narrowly and for a procedural purpose — to determine whether the Respondent’s case depends on NDIA conduct that was unauthorised, improper, contradictory or materially incomplete.</w:t>
      </w:r>
    </w:p>
    <w:p>
      <w:pPr>
        <w:spacing w:after="120"/>
      </w:pPr>
      <w:r>
        <w:t xml:space="preserve">Two matters on the documents require the Respondent’s position:</w:t>
      </w:r>
    </w:p>
    <w:p>
      <w:pPr>
        <w:spacing w:after="80"/>
        <w:ind w:left="600" w:hanging="340"/>
      </w:pPr>
      <w:r>
        <w:t xml:space="preserve">1. </w:t>
      </w:r>
      <w:r>
        <w:rPr>
          <w:b/>
          <w:bCs/>
        </w:rPr>
        <w:t xml:space="preserve">The internal NDIA contradiction. </w:t>
      </w:r>
      <w:r>
        <w:t xml:space="preserve">Mr Halls is recorded directing a freeze of FFG-linked payments and installing a competitor “at the request of the agency,” while Ms Lundgren wrote on 6 October 2022 that “the Agency has not directed Assist Plan Managers to cease all payments.” Was Mr Halls’s conduct </w:t>
      </w:r>
      <w:r>
        <w:rPr>
          <w:i/>
          <w:iCs/>
        </w:rPr>
        <w:t xml:space="preserve">authorised</w:t>
      </w:r>
      <w:r>
        <w:t xml:space="preserve"> by the NDIA, or not?</w:t>
      </w:r>
    </w:p>
    <w:p>
      <w:pPr>
        <w:spacing w:after="80"/>
        <w:ind w:left="600" w:hanging="340"/>
      </w:pPr>
      <w:r>
        <w:t xml:space="preserve">2. </w:t>
      </w:r>
      <w:r>
        <w:rPr>
          <w:b/>
          <w:bCs/>
        </w:rPr>
        <w:t xml:space="preserve">Adoption of the NDIA material. </w:t>
      </w:r>
      <w:r>
        <w:t xml:space="preserve">Does the Respondent maintain that the evidence “obtained and provided by the NDIA,” generated during a “coordinated provider exit,” is independent and reliable for establishing present unsuitability?</w:t>
      </w:r>
    </w:p>
    <w:p>
      <w:pPr>
        <w:spacing w:after="120"/>
      </w:pPr>
      <w:r>
        <w:t xml:space="preserve">Please confirm the Respondent’s position on each within 14 days. If reliance on the NDIA material is maintained, the applicants will seek the s 74 summonses and will put the reliability and independence of that material squarely in issue, including the contradiction above and the Respondent’s 11 March 2025 representation regarding the absence of a current criminal investigation. The applicants reserve all rights, including as to costs and other proceedings.</w:t>
      </w:r>
    </w:p>
    <w:p>
      <w:pPr>
        <w:spacing w:before="80"/>
      </w:pPr>
      <w:r>
        <w:rPr>
          <w:b/>
          <w:bCs/>
          <w:i/>
          <w:iCs/>
        </w:rPr>
        <w:t xml:space="preserve">Verify before service: </w:t>
      </w:r>
      <w:r>
        <w:rPr>
          <w:i/>
          <w:iCs/>
          <w:color w:val="595959"/>
        </w:rPr>
        <w:t xml:space="preserve">ART Act 2024 ss 23, 74, 78 confirmed; re-confirm the EC22-002103/“Project Archer” quotations and the Halls/Lundgren attributions against the primary documents. Drafts for settling by counsel; nothing concedes any wrongdoing by any applicant.</w:t>
      </w:r>
    </w:p>
    <w:sectPr>
      <w:headerReference w:type="default" r:id="rId7"/>
      <w:footerReference w:type="default" r:id="rId8"/>
      <w:pgSz w:w="12240" w:h="15840"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Reid — Package 2 (ART summonses) — 26 June 2026 — page </w:t>
    </w:r>
    <w:r>
      <w:rPr>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4"/>
        <w:szCs w:val="14"/>
      </w:rPr>
      <w:t xml:space="preserve">PRIVILEGED &amp; CONFIDENTIAL — for settling by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16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2026-06-26T03:14:52.600Z</dcterms:created>
  <dcterms:modified xsi:type="dcterms:W3CDTF">2026-06-26T03:14:52.601Z</dcterms:modified>
</cp:coreProperties>
</file>

<file path=docProps/custom.xml><?xml version="1.0" encoding="utf-8"?>
<Properties xmlns="http://schemas.openxmlformats.org/officeDocument/2006/custom-properties" xmlns:vt="http://schemas.openxmlformats.org/officeDocument/2006/docPropsVTypes"/>
</file>