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Package 3 of 3 — Federal Court Application (s 39B)</w:t>
      </w:r>
    </w:p>
    <w:p>
      <w:pPr>
        <w:spacing w:after="120"/>
      </w:pPr>
      <w:r>
        <w:rPr>
          <w:i/>
          <w:iCs/>
          <w:color w:val="595959"/>
          <w:sz w:val="18"/>
          <w:szCs w:val="18"/>
        </w:rPr>
        <w:t xml:space="preserve">Contemplated Reid v National Disability Insurance Agency &amp; Ors · Federal Court of Australia · 26 June 2026 · WORKING SKELETON for settling by counsel · not legal advice</w:t>
      </w:r>
    </w:p>
    <w:p>
      <w:pPr>
        <w:shd w:fill="2E5496" w:val="clear"/>
        <w:spacing w:after="160" w:before="40"/>
        <w:jc w:val="center"/>
      </w:pPr>
      <w:r>
        <w:rPr>
          <w:b/>
          <w:bCs/>
          <w:color w:val="FFFFFF"/>
          <w:sz w:val="24"/>
          <w:szCs w:val="24"/>
        </w:rPr>
        <w:t xml:space="preserve">STATUS: WORK IN PROGRESS — SETTLE WITH COUNSEL AND LODGE SOON</w:t>
      </w:r>
    </w:p>
    <w:p>
      <w:pPr>
        <w:spacing w:after="60"/>
      </w:pPr>
      <w:r>
        <w:rPr>
          <w:b/>
          <w:bCs/>
          <w:color w:val="1F3864"/>
          <w:sz w:val="19"/>
          <w:szCs w:val="19"/>
        </w:rPr>
        <w:t xml:space="preserve">EXPLAINER FOR THE LEGAL TEAM</w:t>
      </w:r>
    </w:p>
    <w:p>
      <w:pPr>
        <w:spacing w:after="50"/>
      </w:pPr>
      <w:r>
        <w:rPr>
          <w:b/>
          <w:bCs/>
        </w:rPr>
        <w:t xml:space="preserve">What this is: </w:t>
      </w:r>
      <w:r>
        <w:t xml:space="preserve">A working skeleton of the originating application and grounds — the second front that makes the NDIA a respondent and exposes Halls and Lundgren personally. Not yet for filing.</w:t>
      </w:r>
    </w:p>
    <w:p>
      <w:pPr>
        <w:spacing w:after="50"/>
      </w:pPr>
      <w:r>
        <w:rPr>
          <w:b/>
          <w:bCs/>
        </w:rPr>
        <w:t xml:space="preserve">Why it matters: </w:t>
      </w:r>
      <w:r>
        <w:t xml:space="preserve">It is the only forum where the Commission shield does not exist: judicial review of the NDIA’s own conduct, plus misfeasance in public office — the only route to damages and to naming the officers.</w:t>
      </w:r>
    </w:p>
    <w:p>
      <w:pPr>
        <w:spacing w:after="50"/>
      </w:pPr>
      <w:r>
        <w:rPr>
          <w:b/>
          <w:bCs/>
        </w:rPr>
        <w:t xml:space="preserve">Why lodge soon: </w:t>
      </w:r>
      <w:r>
        <w:t xml:space="preserve">The misfeasance limitation (≈6 years from the 2022 conduct, so ≈2028) is finite, and the Respondent is rewarded by delay. Protect the position now; file once counsel has settled it.</w:t>
      </w:r>
    </w:p>
    <w:p>
      <w:pPr>
        <w:spacing w:after="50"/>
      </w:pPr>
      <w:r>
        <w:rPr>
          <w:b/>
          <w:bCs/>
        </w:rPr>
        <w:t xml:space="preserve">Who: </w:t>
      </w:r>
      <w:r>
        <w:t xml:space="preserve">Counsel to settle and sign; Simon Reid, Vida Reid and FFG as applicants. Consider senior counsel given the misfeasance and costs exposure.</w:t>
      </w:r>
    </w:p>
    <w:p>
      <w:pPr>
        <w:spacing w:after="50"/>
      </w:pPr>
      <w:r>
        <w:rPr>
          <w:b/>
          <w:bCs/>
        </w:rPr>
        <w:t xml:space="preserve">Verify first: </w:t>
      </w:r>
      <w:r>
        <w:t xml:space="preserve">PIN every authority; settle the correct respondent(s) for JR vs the tort; confirm each applicant’s standing; confirm the State Limitation Act and accrual date; decide s 39B vs ADJR framing; assess whether r 7.23 preliminary discovery is needed to confirm a respondent before filing.</w:t>
      </w:r>
    </w:p>
    <w:p>
      <w:pPr>
        <w:spacing w:after="50"/>
      </w:pPr>
      <w:r>
        <w:rPr>
          <w:b/>
          <w:bCs/>
        </w:rPr>
        <w:t xml:space="preserve">Cost reality: </w:t>
      </w:r>
      <w:r>
        <w:t xml:space="preserve">The Federal Court is costs-follow-the-event (unlike the ART). Its early value is leverage and the limitation backstop, not a quick judgment.</w:t>
      </w:r>
    </w:p>
    <w:p>
      <w:pPr>
        <w:pBdr>
          <w:bottom w:val="single" w:color="1F3864" w:sz="8" w:space="1"/>
        </w:pBdr>
        <w:spacing w:after="160" w:before="100"/>
      </w:pPr>
      <w:r>
        <w:t xml:space="preserve"/>
      </w:r>
    </w:p>
    <w:p>
      <w:pPr>
        <w:pStyle w:val="Heading1"/>
      </w:pPr>
      <w:r>
        <w:t xml:space="preserve">1. Court, jurisdiction and parties</w:t>
      </w:r>
    </w:p>
    <w:p>
      <w:pPr>
        <w:spacing w:after="120"/>
      </w:pPr>
      <w:r>
        <w:rPr>
          <w:b/>
          <w:bCs/>
        </w:rPr>
        <w:t xml:space="preserve">Court: </w:t>
      </w:r>
      <w:r>
        <w:t xml:space="preserve">Federal Court of Australia.</w:t>
      </w:r>
    </w:p>
    <w:p>
      <w:pPr>
        <w:spacing w:after="120"/>
      </w:pPr>
      <w:r>
        <w:rPr>
          <w:b/>
          <w:bCs/>
        </w:rPr>
        <w:t xml:space="preserve">Jurisdiction: </w:t>
      </w:r>
      <w:r>
        <w:t xml:space="preserve">s 39B(1) of the </w:t>
      </w:r>
      <w:r>
        <w:rPr>
          <w:i/>
          <w:iCs/>
        </w:rPr>
        <w:t xml:space="preserve">Judiciary Act 1903</w:t>
      </w:r>
      <w:r>
        <w:t xml:space="preserve"> (Cth) (mandamus, prohibition or injunction against an officer of the Commonwealth) and s 39B(1A)(c) (a matter arising under a law made by the Parliament); judicial review and associated relief. The ADJR Act 1977 is to be considered in the alternative for any reviewable “decision.” [Counsel to settle the jurisdictional basis.]</w:t>
      </w:r>
    </w:p>
    <w:p>
      <w:pPr>
        <w:spacing w:after="120"/>
      </w:pPr>
      <w:r>
        <w:rPr>
          <w:b/>
          <w:bCs/>
        </w:rPr>
        <w:t xml:space="preserve">Applicants: </w:t>
      </w:r>
      <w:r>
        <w:t xml:space="preserve">(1) Simon Reid; (2) Vida Reid; (3) Forward Focused Group Pty Ltd.</w:t>
      </w:r>
    </w:p>
    <w:p>
      <w:pPr>
        <w:spacing w:after="120"/>
      </w:pPr>
      <w:r>
        <w:rPr>
          <w:b/>
          <w:bCs/>
        </w:rPr>
        <w:t xml:space="preserve">Respondents: </w:t>
      </w:r>
      <w:r>
        <w:t xml:space="preserve">(1) National Disability Insurance Agency; (2) Nathan Halls; (3) Barbara Lundgren; (4) Commonwealth of Australia (vicarious liability). [Counsel to settle the proper respondent for the judicial-review claim as distinct from the tort.]</w:t>
      </w:r>
    </w:p>
    <w:p>
      <w:pPr>
        <w:pStyle w:val="Heading1"/>
      </w:pPr>
      <w:r>
        <w:t xml:space="preserve">2. Relief sought</w:t>
      </w:r>
    </w:p>
    <w:p>
      <w:pPr>
        <w:pStyle w:val="ListParagraph"/>
        <w:numPr>
          <w:ilvl w:val="0"/>
          <w:numId w:val="2"/>
        </w:numPr>
        <w:spacing w:after="60"/>
      </w:pPr>
      <w:r>
        <w:rPr>
          <w:b/>
          <w:bCs/>
        </w:rPr>
        <w:t xml:space="preserve">Judicial review: </w:t>
      </w:r>
      <w:r>
        <w:t xml:space="preserve">declarations that the impugned NDIA decisions and conduct were made or engaged in for an improper purpose and/or beyond power and are invalid; certiorari quashing them; injunctions restraining continued reliance; and ancillary relief.</w:t>
      </w:r>
    </w:p>
    <w:p>
      <w:pPr>
        <w:pStyle w:val="ListParagraph"/>
        <w:numPr>
          <w:ilvl w:val="0"/>
          <w:numId w:val="2"/>
        </w:numPr>
        <w:spacing w:after="60"/>
      </w:pPr>
      <w:r>
        <w:rPr>
          <w:b/>
          <w:bCs/>
        </w:rPr>
        <w:t xml:space="preserve">Misfeasance in public office: </w:t>
      </w:r>
      <w:r>
        <w:t xml:space="preserve">damages against the second and third respondents, the Commonwealth vicariously liable, including aggravated and (if available) exemplary damages. [Counsel.]</w:t>
      </w:r>
    </w:p>
    <w:p>
      <w:pPr>
        <w:pStyle w:val="ListParagraph"/>
        <w:numPr>
          <w:ilvl w:val="0"/>
          <w:numId w:val="2"/>
        </w:numPr>
        <w:spacing w:after="60"/>
      </w:pPr>
      <w:r>
        <w:rPr>
          <w:b/>
          <w:bCs/>
        </w:rPr>
        <w:t xml:space="preserve">Costs</w:t>
      </w:r>
      <w:r>
        <w:t xml:space="preserve">, and such further orders as the Court thinks fit.</w:t>
      </w:r>
    </w:p>
    <w:p>
      <w:pPr>
        <w:pStyle w:val="Heading1"/>
      </w:pPr>
      <w:r>
        <w:t xml:space="preserve">3. The impugned decisions and conduct</w:t>
      </w:r>
    </w:p>
    <w:p>
      <w:pPr>
        <w:spacing w:after="120"/>
      </w:pPr>
      <w:r>
        <w:t xml:space="preserve">Reduced to the reviewable conduct (dates per the chronology in the shield memo):</w:t>
      </w:r>
    </w:p>
    <w:p>
      <w:pPr>
        <w:spacing w:after="80"/>
        <w:ind w:left="600" w:hanging="340"/>
      </w:pPr>
      <w:r>
        <w:t xml:space="preserve">(a) </w:t>
      </w:r>
      <w:r>
        <w:t xml:space="preserve">the direction to freeze, hold or cease payments to FFG-linked participant plans;</w:t>
      </w:r>
    </w:p>
    <w:p>
      <w:pPr>
        <w:spacing w:after="80"/>
        <w:ind w:left="600" w:hanging="340"/>
      </w:pPr>
      <w:r>
        <w:t xml:space="preserve">(b) </w:t>
      </w:r>
      <w:r>
        <w:t xml:space="preserve">the “request for service” reallocation of FFG participants to Diversitas WA and Nurse Assist 24/7;</w:t>
      </w:r>
    </w:p>
    <w:p>
      <w:pPr>
        <w:spacing w:after="80"/>
        <w:ind w:left="600" w:hanging="340"/>
      </w:pPr>
      <w:r>
        <w:t xml:space="preserve">(c) </w:t>
      </w:r>
      <w:r>
        <w:t xml:space="preserve">the creation of participant-record “alerts” / “consent removals” blacklisting FFG before any banning order;</w:t>
      </w:r>
    </w:p>
    <w:p>
      <w:pPr>
        <w:spacing w:after="80"/>
        <w:ind w:left="600" w:hanging="340"/>
      </w:pPr>
      <w:r>
        <w:t xml:space="preserve">(d) </w:t>
      </w:r>
      <w:r>
        <w:t xml:space="preserve">the “coordinated provider exit” by which the NDIA engineered FFG’s removal from the sector.</w:t>
      </w:r>
    </w:p>
    <w:p>
      <w:pPr>
        <w:pStyle w:val="Heading1"/>
      </w:pPr>
      <w:r>
        <w:t xml:space="preserve">4. Grounds — improper purpose / beyond power</w:t>
      </w:r>
    </w:p>
    <w:p>
      <w:pPr>
        <w:spacing w:after="120"/>
      </w:pPr>
      <w:r>
        <w:t xml:space="preserve">The NDIA’s functions and powers are conferred for the proper administration and integrity of the scheme and the protection of participants. They were exercised for the collateral purpose of removing FFG from the sector and installing competing providers — a purpose foreign to the power. Lead authorities (to be pinned): </w:t>
      </w:r>
      <w:r>
        <w:rPr>
          <w:i/>
          <w:iCs/>
        </w:rPr>
        <w:t xml:space="preserve">Padfield v Minister of Agriculture</w:t>
      </w:r>
      <w:r>
        <w:t xml:space="preserve">; </w:t>
      </w:r>
      <w:r>
        <w:rPr>
          <w:i/>
          <w:iCs/>
        </w:rPr>
        <w:t xml:space="preserve">R v Toohey; Ex parte Northern Land Council</w:t>
      </w:r>
      <w:r>
        <w:t xml:space="preserve">; </w:t>
      </w:r>
      <w:r>
        <w:rPr>
          <w:i/>
          <w:iCs/>
        </w:rPr>
        <w:t xml:space="preserve">Thompson v Randwick Corporation</w:t>
      </w:r>
      <w:r>
        <w:t xml:space="preserve">; </w:t>
      </w:r>
      <w:r>
        <w:rPr>
          <w:i/>
          <w:iCs/>
        </w:rPr>
        <w:t xml:space="preserve">Shrimpton v Commonwealth</w:t>
      </w:r>
      <w:r>
        <w:t xml:space="preserve">. The case is documentary at its core (Halls’s own “coordinated provider exit” and “at the request of the agency” emails), which is its strength; improper-purpose findings are nonetheless hard-won and require the conduct, not merely suspicion, to be proved. [PIN all authorities.]</w:t>
      </w:r>
    </w:p>
    <w:p>
      <w:pPr>
        <w:pStyle w:val="Heading1"/>
      </w:pPr>
      <w:r>
        <w:t xml:space="preserve">5. Grounds — misfeasance in public office</w:t>
      </w:r>
    </w:p>
    <w:p>
      <w:pPr>
        <w:spacing w:after="120"/>
      </w:pPr>
      <w:r>
        <w:t xml:space="preserve">Elements (to be pinned): </w:t>
      </w:r>
      <w:r>
        <w:rPr>
          <w:i/>
          <w:iCs/>
        </w:rPr>
        <w:t xml:space="preserve">Northern Territory v Mengel</w:t>
      </w:r>
      <w:r>
        <w:t xml:space="preserve">; </w:t>
      </w:r>
      <w:r>
        <w:rPr>
          <w:i/>
          <w:iCs/>
        </w:rPr>
        <w:t xml:space="preserve">Sanders v Snell</w:t>
      </w:r>
      <w:r>
        <w:t xml:space="preserve">; </w:t>
      </w:r>
      <w:r>
        <w:rPr>
          <w:i/>
          <w:iCs/>
        </w:rPr>
        <w:t xml:space="preserve">Three Rivers DC v Bank of England</w:t>
      </w:r>
      <w:r>
        <w:t xml:space="preserve">:</w:t>
      </w:r>
    </w:p>
    <w:p>
      <w:pPr>
        <w:spacing w:after="80"/>
        <w:ind w:left="600" w:hanging="340"/>
      </w:pPr>
      <w:r>
        <w:t xml:space="preserve">1. </w:t>
      </w:r>
      <w:r>
        <w:t xml:space="preserve">a public officer (Halls; Lundgren);</w:t>
      </w:r>
    </w:p>
    <w:p>
      <w:pPr>
        <w:spacing w:after="80"/>
        <w:ind w:left="600" w:hanging="340"/>
      </w:pPr>
      <w:r>
        <w:t xml:space="preserve">2. </w:t>
      </w:r>
      <w:r>
        <w:t xml:space="preserve">an invalid or unauthorised exercise of, or refusal to exercise, power;</w:t>
      </w:r>
    </w:p>
    <w:p>
      <w:pPr>
        <w:spacing w:after="80"/>
        <w:ind w:left="600" w:hanging="340"/>
      </w:pPr>
      <w:r>
        <w:t xml:space="preserve">3. </w:t>
      </w:r>
      <w:r>
        <w:t xml:space="preserve">the mental element — either targeted malice, or knowledge that the act was beyond power (or reckless indifference to that and to the probability of harm);</w:t>
      </w:r>
    </w:p>
    <w:p>
      <w:pPr>
        <w:spacing w:after="80"/>
        <w:ind w:left="600" w:hanging="340"/>
      </w:pPr>
      <w:r>
        <w:t xml:space="preserve">4. </w:t>
      </w:r>
      <w:r>
        <w:t xml:space="preserve">causation; and</w:t>
      </w:r>
    </w:p>
    <w:p>
      <w:pPr>
        <w:spacing w:after="80"/>
        <w:ind w:left="600" w:hanging="340"/>
      </w:pPr>
      <w:r>
        <w:t xml:space="preserve">5. </w:t>
      </w:r>
      <w:r>
        <w:t xml:space="preserve">damage to the applicants.</w:t>
      </w:r>
    </w:p>
    <w:p>
      <w:pPr>
        <w:spacing w:after="120"/>
      </w:pPr>
      <w:r>
        <w:t xml:space="preserve">The mental element is the weak joint and is the reason the claim is </w:t>
      </w:r>
      <w:r>
        <w:rPr>
          <w:b/>
          <w:bCs/>
        </w:rPr>
        <w:t xml:space="preserve">built from the documents before it is asserted</w:t>
      </w:r>
      <w:r>
        <w:t xml:space="preserve"> — proved by the material extracted through Package 1 (FOI), Package 2 (ART production) and Federal Court discovery, not pleaded on suspicion.</w:t>
      </w:r>
    </w:p>
    <w:p>
      <w:pPr>
        <w:pStyle w:val="Heading1"/>
      </w:pPr>
      <w:r>
        <w:t xml:space="preserve">6. Respondent / misfeasance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500"/>
        <w:gridCol w:w="3210"/>
        <w:gridCol w:w="3000"/>
      </w:tblGrid>
      <w:tr>
        <w:trPr>
          <w:tblHeader/>
        </w:trPr>
        <w:tc>
          <w:tcPr>
            <w:tcW w:type="dxa" w:w="16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Respondent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Capacity</w:t>
            </w:r>
          </w:p>
        </w:tc>
        <w:tc>
          <w:tcPr>
            <w:tcW w:type="dxa" w:w="321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Impugned conduct</w:t>
            </w:r>
          </w:p>
        </w:tc>
        <w:tc>
          <w:tcPr>
            <w:tcW w:type="dxa" w:w="3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Element it proves / source</w:t>
            </w:r>
          </w:p>
        </w:tc>
      </w:tr>
      <w:tr>
        <w:trPr>
          <w:tblHeader w:val="false"/>
        </w:trPr>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NDIA</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Agency (JR respondent; vicarious for the tort)</w:t>
            </w:r>
          </w:p>
        </w:tc>
        <w:tc>
          <w:tcPr>
            <w:tcW w:type="dxa" w:w="3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Coordinated provider exit; payment-freeze direction; “request for service” reallocation; pre-ban “alerts”</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Improper purpose / beyond power — Commission brief admissions; Halls 29 Sep 2022; Bhandari 17 Oct 2022</w:t>
            </w:r>
          </w:p>
        </w:tc>
      </w:tr>
      <w:tr>
        <w:trPr>
          <w:tblHeader w:val="false"/>
        </w:trPr>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Nathan Halls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NDIA officer (personal — misfeasance)</w:t>
            </w:r>
          </w:p>
        </w:tc>
        <w:tc>
          <w:tcPr>
            <w:tcW w:type="dxa" w:w="3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Authored the fraud framing; led the exit; installed Diversitas “at the request of the agency”; directed the freeze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Knowledge/recklessness as to power; targeted conduct — Halls 16 Aug &amp; 29 Sep 2022 (own-mailbox copies)</w:t>
            </w:r>
          </w:p>
        </w:tc>
      </w:tr>
      <w:tr>
        <w:trPr>
          <w:tblHeader w:val="false"/>
        </w:trPr>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Barbara Lundgren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NDIA officer (personal — misfeasance)</w:t>
            </w:r>
          </w:p>
        </w:tc>
        <w:tc>
          <w:tcPr>
            <w:tcW w:type="dxa" w:w="3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The 6 Oct 2022 payment position contradicting the freeze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Authorised-or-rogue contradiction; knowledge of irregularity — Lundgren 6 Oct 2022</w:t>
            </w:r>
          </w:p>
        </w:tc>
      </w:tr>
      <w:tr>
        <w:trPr>
          <w:tblHeader w:val="false"/>
        </w:trPr>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Commonwealth</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Vicariously liable</w:t>
            </w:r>
          </w:p>
        </w:tc>
        <w:tc>
          <w:tcPr>
            <w:tcW w:type="dxa" w:w="3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For the torts of its officers in the course of duty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Vicarious liability; the deep-pocket respondent for damages</w:t>
            </w:r>
          </w:p>
        </w:tc>
      </w:tr>
    </w:tbl>
    <w:p>
      <w:pPr>
        <w:spacing w:after="40"/>
      </w:pPr>
      <w:r>
        <w:t xml:space="preserve"/>
      </w:r>
    </w:p>
    <w:p>
      <w:pPr>
        <w:pStyle w:val="Heading1"/>
      </w:pPr>
      <w:r>
        <w:t xml:space="preserve">7. Standing, limitation and evidence</w:t>
      </w:r>
    </w:p>
    <w:p>
      <w:pPr>
        <w:pStyle w:val="ListParagraph"/>
        <w:numPr>
          <w:ilvl w:val="0"/>
          <w:numId w:val="2"/>
        </w:numPr>
        <w:spacing w:after="60"/>
      </w:pPr>
      <w:r>
        <w:rPr>
          <w:b/>
          <w:bCs/>
        </w:rPr>
        <w:t xml:space="preserve">Standing: </w:t>
      </w:r>
      <w:r>
        <w:t xml:space="preserve">FFG in respect of the payment freeze and the provider exit; the Reids in respect of the reputational and economic harm and the conduct directed at them. [Counsel to settle for each applicant and each form of relief.]</w:t>
      </w:r>
    </w:p>
    <w:p>
      <w:pPr>
        <w:pStyle w:val="ListParagraph"/>
        <w:numPr>
          <w:ilvl w:val="0"/>
          <w:numId w:val="2"/>
        </w:numPr>
        <w:spacing w:after="60"/>
      </w:pPr>
      <w:r>
        <w:rPr>
          <w:b/>
          <w:bCs/>
        </w:rPr>
        <w:t xml:space="preserve">Limitation: </w:t>
      </w:r>
      <w:r>
        <w:t xml:space="preserve">misfeasance ≈6 years from accrual (conduct from 2022 → ≈2028). Confirm the applicable State Limitation Act and accrual date and diarise; this is the reason to lodge soon, or to file protectively.</w:t>
      </w:r>
    </w:p>
    <w:p>
      <w:pPr>
        <w:pStyle w:val="ListParagraph"/>
        <w:numPr>
          <w:ilvl w:val="0"/>
          <w:numId w:val="2"/>
        </w:numPr>
        <w:spacing w:after="60"/>
      </w:pPr>
      <w:r>
        <w:rPr>
          <w:b/>
          <w:bCs/>
        </w:rPr>
        <w:t xml:space="preserve">Evidence: </w:t>
      </w:r>
      <w:r>
        <w:t xml:space="preserve">the documentary spine (Halls 16 Aug &amp; 29 Sep 2022; Lundgren 6 Oct 2022; the Commission brief admissions), supplemented by FOI-released material (free to use) and, once on foot, category (r 20.15) and non-party (r 20.23) discovery, including against Diversitas and Nurse Assist 24/7.</w:t>
      </w:r>
    </w:p>
    <w:p>
      <w:pPr>
        <w:pStyle w:val="Heading1"/>
      </w:pPr>
      <w:r>
        <w:t xml:space="preserve">8. Relationship to the ART proceeding</w:t>
      </w:r>
    </w:p>
    <w:p>
      <w:pPr>
        <w:spacing w:after="120"/>
      </w:pPr>
      <w:r>
        <w:t xml:space="preserve">This proceeding is the second front, not a duplicate: different respondent (the NDIA, not the Commission), different remedy (invalidity and damages, not merits review of the banning orders). FOI-released documents may be used here without restriction; documents produced under ART summons or Federal Court discovery are subject to the implied (Harman) undertaking and may be used only in the proceeding in which they were produced.</w:t>
      </w:r>
    </w:p>
    <w:p>
      <w:pPr>
        <w:pStyle w:val="Heading1"/>
      </w:pPr>
      <w:r>
        <w:t xml:space="preserve">9. Steps to lodge</w:t>
      </w:r>
    </w:p>
    <w:p>
      <w:pPr>
        <w:spacing w:after="80"/>
        <w:ind w:left="600" w:hanging="340"/>
      </w:pPr>
      <w:r>
        <w:t xml:space="preserve">1. </w:t>
      </w:r>
      <w:r>
        <w:t xml:space="preserve">Counsel to settle respondents, jurisdiction (s 39B vs ADJR), grounds and relief, and to PIN all authorities.</w:t>
      </w:r>
    </w:p>
    <w:p>
      <w:pPr>
        <w:spacing w:after="80"/>
        <w:ind w:left="600" w:hanging="340"/>
      </w:pPr>
      <w:r>
        <w:t xml:space="preserve">2. </w:t>
      </w:r>
      <w:r>
        <w:t xml:space="preserve">Finalise the supporting affidavit(s) exhibiting the documentary spine.</w:t>
      </w:r>
    </w:p>
    <w:p>
      <w:pPr>
        <w:spacing w:after="80"/>
        <w:ind w:left="600" w:hanging="340"/>
      </w:pPr>
      <w:r>
        <w:t xml:space="preserve">3. </w:t>
      </w:r>
      <w:r>
        <w:t xml:space="preserve">Confirm standing per applicant and the limitation/accrual position; diarise the limitation date.</w:t>
      </w:r>
    </w:p>
    <w:p>
      <w:pPr>
        <w:spacing w:after="80"/>
        <w:ind w:left="600" w:hanging="340"/>
      </w:pPr>
      <w:r>
        <w:t xml:space="preserve">4. </w:t>
      </w:r>
      <w:r>
        <w:t xml:space="preserve">Assess r 7.23 preliminary discovery if a respondent’s identity or role must be confirmed before filing.</w:t>
      </w:r>
    </w:p>
    <w:p>
      <w:pPr>
        <w:spacing w:after="80"/>
        <w:ind w:left="600" w:hanging="340"/>
      </w:pPr>
      <w:r>
        <w:t xml:space="preserve">5. </w:t>
      </w:r>
      <w:r>
        <w:t xml:space="preserve">File the originating application and concise statement; serve; then issue r 20.15 / r 20.23 discovery.</w:t>
      </w:r>
    </w:p>
    <w:p>
      <w:pPr>
        <w:spacing w:before="80"/>
      </w:pPr>
      <w:r>
        <w:rPr>
          <w:b/>
          <w:bCs/>
          <w:i/>
          <w:iCs/>
        </w:rPr>
        <w:t xml:space="preserve">Caveat. </w:t>
      </w:r>
      <w:r>
        <w:rPr>
          <w:i/>
          <w:iCs/>
          <w:color w:val="595959"/>
        </w:rPr>
        <w:t xml:space="preserve">Working skeleton only, for settling by counsel; the author is not a lawyer. All authorities are [PIN] until confirmed against the primary reports. Nothing concedes any wrongdoing by any applicant; the conduct of Mr Halls and Ms Lundgren is to be proved from documents, not asserted.</w:t>
      </w:r>
    </w:p>
    <w:sectPr>
      <w:headerReference w:type="default" r:id="rId7"/>
      <w:footerReference w:type="default" r:id="rId8"/>
      <w:pgSz w:w="12240" w:h="15840"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4"/>
        <w:szCs w:val="14"/>
      </w:rPr>
      <w:t xml:space="preserve">Reid — Package 3 (Federal s 39B) — 26 June 2026 — page </w:t>
    </w:r>
    <w:r>
      <w:rPr>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4"/>
        <w:szCs w:val="14"/>
      </w:rPr>
      <w:t xml:space="preserve">PRIVILEGED &amp; CONFIDENTIAL — for settling by counsel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20" w:before="240"/>
      <w:outlineLvl w:val="0"/>
    </w:pPr>
    <w:rPr>
      <w:rFonts w:ascii="Arial" w:cs="Arial" w:eastAsia="Arial" w:hAnsi="Arial"/>
      <w:b/>
      <w:bCs/>
      <w:color w:val="1F3864"/>
      <w:sz w:val="24"/>
      <w:szCs w:val="24"/>
    </w:rPr>
  </w:style>
  <w:style w:type="paragraph" w:styleId="Heading2">
    <w:name w:val="Heading 2"/>
    <w:basedOn w:val="Normal"/>
    <w:next w:val="Normal"/>
    <w:qFormat/>
    <w:pPr>
      <w:spacing w:after="80" w:before="16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Prepared to brief counsel</dc:creator>
  <cp:lastModifiedBy>Un-named</cp:lastModifiedBy>
  <cp:revision>1</cp:revision>
  <dcterms:created xsi:type="dcterms:W3CDTF">2026-06-26T03:14:53.088Z</dcterms:created>
  <dcterms:modified xsi:type="dcterms:W3CDTF">2026-06-26T03:14:53.089Z</dcterms:modified>
</cp:coreProperties>
</file>

<file path=docProps/custom.xml><?xml version="1.0" encoding="utf-8"?>
<Properties xmlns="http://schemas.openxmlformats.org/officeDocument/2006/custom-properties" xmlns:vt="http://schemas.openxmlformats.org/officeDocument/2006/docPropsVTypes"/>
</file>