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1F3864"/>
          <w:sz w:val="30"/>
          <w:szCs w:val="30"/>
        </w:rPr>
        <w:t xml:space="preserve">MEMORANDUM OF STRATEGIC ADVICE</w:t>
      </w:r>
    </w:p>
    <w:p>
      <w:pPr>
        <w:spacing w:after="30"/>
        <w:jc w:val="center"/>
      </w:pPr>
      <w:r>
        <w:rPr>
          <w:rFonts w:ascii="Arial" w:cs="Arial" w:eastAsia="Arial" w:hAnsi="Arial"/>
          <w:b/>
          <w:bCs/>
          <w:sz w:val="22"/>
          <w:szCs w:val="22"/>
        </w:rPr>
        <w:t xml:space="preserve">The Offensive Case — Reid / Forward Focused Group and related Commonwealth conduct</w:t>
      </w:r>
    </w:p>
    <w:p>
      <w:pPr>
        <w:spacing w:after="160"/>
        <w:jc w:val="center"/>
      </w:pPr>
      <w:r>
        <w:rPr>
          <w:rFonts w:ascii="Arial" w:cs="Arial" w:eastAsia="Arial" w:hAnsi="Arial"/>
          <w:i/>
          <w:iCs/>
          <w:sz w:val="20"/>
          <w:szCs w:val="20"/>
        </w:rPr>
        <w:t xml:space="preserve">Prepared to brief counsel  ·  14 June 2026</w:t>
      </w:r>
    </w:p>
    <w:p>
      <w:pPr>
        <w:pBdr>
          <w:bottom w:val="single" w:color="888888" w:sz="6" w:space="1"/>
        </w:pBdr>
        <w:spacing w:after="150"/>
      </w:pPr>
      <w:r>
        <w:rPr>
          <w:rFonts w:ascii="Arial" w:cs="Arial" w:eastAsia="Arial" w:hAnsi="Arial"/>
        </w:rPr>
        <w:t xml:space="preserve"/>
      </w:r>
    </w:p>
    <w:p>
      <w:pPr>
        <w:spacing w:after="150" w:line="276"/>
      </w:pPr>
      <w:r>
        <w:rPr>
          <w:rFonts w:ascii="Arial" w:cs="Arial" w:eastAsia="Arial" w:hAnsi="Arial"/>
          <w:b/>
          <w:bCs/>
        </w:rPr>
        <w:t xml:space="preserve">Status and caveat.  </w:t>
      </w:r>
      <w:r>
        <w:rPr>
          <w:rFonts w:ascii="Arial" w:cs="Arial" w:eastAsia="Arial" w:hAnsi="Arial"/>
        </w:rPr>
        <w:t xml:space="preserve">Privileged and confidential. This is strategic analysis prepared to brief the applicants’ legal representatives; it is not legal advice, and its author is not a lawyer. Authorities are tagged </w:t>
      </w:r>
      <w:r>
        <w:rPr>
          <w:rFonts w:ascii="Arial" w:cs="Arial" w:eastAsia="Arial" w:hAnsi="Arial"/>
          <w:b/>
          <w:bCs/>
        </w:rPr>
        <w:t xml:space="preserve">[VERIFIED]</w:t>
      </w:r>
      <w:r>
        <w:rPr>
          <w:rFonts w:ascii="Arial" w:cs="Arial" w:eastAsia="Arial" w:hAnsi="Arial"/>
        </w:rPr>
        <w:t xml:space="preserve"> or </w:t>
      </w:r>
      <w:r>
        <w:rPr>
          <w:rFonts w:ascii="Arial" w:cs="Arial" w:eastAsia="Arial" w:hAnsi="Arial"/>
          <w:b/>
          <w:bCs/>
        </w:rPr>
        <w:t xml:space="preserve">[PIN]</w:t>
      </w:r>
      <w:r>
        <w:rPr>
          <w:rFonts w:ascii="Arial" w:cs="Arial" w:eastAsia="Arial" w:hAnsi="Arial"/>
        </w:rPr>
        <w:t xml:space="preserve"> (the neutral citation, paragraph and bench must be confirmed against the primary report before any use). Nothing in this memorandum concedes any fraud or wrongdoing by any applicant or associated entity; the Commission’s case is contested in its entirety. The strategy below is deliberately aggressive but is confined to lawful and ethical measures; the guardrails in Part 10 are integral to it.</w:t>
      </w:r>
    </w:p>
    <w:p>
      <w:pPr>
        <w:pBdr>
          <w:bottom w:val="single" w:color="888888" w:sz="6" w:space="1"/>
        </w:pBdr>
        <w:spacing w:after="150"/>
      </w:pPr>
      <w:r>
        <w:rPr>
          <w:rFonts w:ascii="Arial" w:cs="Arial" w:eastAsia="Arial" w:hAnsi="Arial"/>
        </w:rPr>
        <w:t xml:space="preserve"/>
      </w:r>
    </w:p>
    <w:p>
      <w:pPr>
        <w:pStyle w:val="Heading1"/>
      </w:pPr>
      <w:r>
        <w:t xml:space="preserve">1.  The advice in short</w:t>
      </w:r>
    </w:p>
    <w:p>
      <w:pPr>
        <w:spacing w:after="150" w:line="276"/>
      </w:pPr>
      <w:r>
        <w:rPr>
          <w:rFonts w:ascii="Arial" w:cs="Arial" w:eastAsia="Arial" w:hAnsi="Arial"/>
        </w:rPr>
        <w:t xml:space="preserve">You are not losing on the facts. You are losing on the architecture. The Tribunal can, at its highest, vary the banning orders. It cannot reach the agency whose conduct is the real grievance, cannot award you a dollar of compensation, and cannot punish delay or game-playing. Every month the dispute stays confined to the Tribunal is a month that suits the Respondent — who is rewarded by delay, and who has just shown it will turn the resulting expiry of the FFG order into an argument that the review need not proceed at all.</w:t>
      </w:r>
    </w:p>
    <w:p>
      <w:pPr>
        <w:spacing w:after="150" w:line="276"/>
      </w:pPr>
      <w:r>
        <w:rPr>
          <w:rFonts w:ascii="Arial" w:cs="Arial" w:eastAsia="Arial" w:hAnsi="Arial"/>
        </w:rPr>
        <w:t xml:space="preserve">The advice is to change the architecture. Keep the Tribunal review running, but make it the secondary theatre. Open a coordinated offensive: a Federal Court proceeding that puts the NDIA’s conduct directly in issue; a misfeasance claim built behind it; compulsory process that forces the Commonwealth to choose, on oath, between owning and disclaiming the NDIA’s operation; and a disciplined campaign of oversight and model-litigant pressure. The object is not destruction. It is to assemble lawful, overwhelming, aggregate exposure — and then to offer a dignified exit.</w:t>
      </w:r>
    </w:p>
    <w:p>
      <w:pPr>
        <w:spacing w:after="150" w:line="276"/>
      </w:pPr>
      <w:r>
        <w:rPr>
          <w:rFonts w:ascii="Arial" w:cs="Arial" w:eastAsia="Arial" w:hAnsi="Arial"/>
        </w:rPr>
        <w:t xml:space="preserve">Used properly, most of this never reaches judgment. Its value is leverage. A silk does not detonate; a silk builds a position so strong that the other side’s rational course is to resolve.</w:t>
      </w:r>
    </w:p>
    <w:p>
      <w:pPr>
        <w:pStyle w:val="Heading1"/>
      </w:pPr>
      <w:r>
        <w:t xml:space="preserve">2.  Why the current path is losing</w:t>
      </w:r>
    </w:p>
    <w:p>
      <w:pPr>
        <w:spacing w:after="150" w:line="276"/>
      </w:pPr>
      <w:r>
        <w:rPr>
          <w:rFonts w:ascii="Arial" w:cs="Arial" w:eastAsia="Arial" w:hAnsi="Arial"/>
          <w:b/>
          <w:bCs/>
        </w:rPr>
        <w:t xml:space="preserve">Forum.  </w:t>
      </w:r>
      <w:r>
        <w:rPr>
          <w:rFonts w:ascii="Arial" w:cs="Arial" w:eastAsia="Arial" w:hAnsi="Arial"/>
        </w:rPr>
        <w:t xml:space="preserve">The Tribunal’s remedial reach stops at the orders. The conduct that aggrieves you — the payment freeze, the installation of competitors, the coordinated participant exits, the surveillance — was the NDIA’s. The NDIA is not before the Tribunal and cannot be made a party there.</w:t>
      </w:r>
    </w:p>
    <w:p>
      <w:pPr>
        <w:spacing w:after="150" w:line="276"/>
      </w:pPr>
      <w:r>
        <w:rPr>
          <w:rFonts w:ascii="Arial" w:cs="Arial" w:eastAsia="Arial" w:hAnsi="Arial"/>
          <w:b/>
          <w:bCs/>
        </w:rPr>
        <w:t xml:space="preserve">Tempo.  </w:t>
      </w:r>
      <w:r>
        <w:rPr>
          <w:rFonts w:ascii="Arial" w:cs="Arial" w:eastAsia="Arial" w:hAnsi="Arial"/>
        </w:rPr>
        <w:t xml:space="preserve">In a merits review, the party defending the status quo is rewarded by delay. You are not. Delay is the Respondent’s most effective weapon, and it is using it.</w:t>
      </w:r>
    </w:p>
    <w:p>
      <w:pPr>
        <w:spacing w:after="150" w:line="276"/>
      </w:pPr>
      <w:r>
        <w:rPr>
          <w:rFonts w:ascii="Arial" w:cs="Arial" w:eastAsia="Arial" w:hAnsi="Arial"/>
          <w:b/>
          <w:bCs/>
        </w:rPr>
        <w:t xml:space="preserve">Posture.  </w:t>
      </w:r>
      <w:r>
        <w:rPr>
          <w:rFonts w:ascii="Arial" w:cs="Arial" w:eastAsia="Arial" w:hAnsi="Arial"/>
        </w:rPr>
        <w:t xml:space="preserve">You are cast as supplicants asking to be found ‘suitable’, fighting the Commission’s case on the Commission’s chosen ground. You will spend years proving a negative.</w:t>
      </w:r>
    </w:p>
    <w:p>
      <w:pPr>
        <w:pStyle w:val="Heading1"/>
      </w:pPr>
      <w:r>
        <w:t xml:space="preserve">3.  The reframe</w:t>
      </w:r>
    </w:p>
    <w:p>
      <w:pPr>
        <w:spacing w:after="150" w:line="276"/>
      </w:pPr>
      <w:r>
        <w:rPr>
          <w:rFonts w:ascii="Arial" w:cs="Arial" w:eastAsia="Arial" w:hAnsi="Arial"/>
        </w:rPr>
        <w:t xml:space="preserve">Stop litigating their case and start litigating yours. The centre of gravity moves from ‘are the Reids suitable?’ to ‘did Commonwealth officers exercise public power for an improper purpose and beyond power, and what is the remedy?’ That single shift converts you from respondents into applicants, opens forums with real remedies, and — for the first time — puts the Commonwealth on the defensive.</w:t>
      </w:r>
    </w:p>
    <w:p>
      <w:pPr>
        <w:pStyle w:val="Heading1"/>
      </w:pPr>
      <w:r>
        <w:t xml:space="preserve">4.  Prong A — the Federal Court second front</w:t>
      </w:r>
    </w:p>
    <w:p>
      <w:pPr>
        <w:spacing w:after="150" w:line="276"/>
      </w:pPr>
      <w:r>
        <w:rPr>
          <w:rFonts w:ascii="Arial" w:cs="Arial" w:eastAsia="Arial" w:hAnsi="Arial"/>
        </w:rPr>
        <w:t xml:space="preserve">A proceeding in the Federal Court under section 39B of the Judiciary Act 1903 (Cth) seeking judicial review of the NDIA’s own decisions and conduct — the direction to freeze FFG’s payments, the ‘request for service’ reallocation of participants to competitors, the system ‘alerts’ — on the ground that the power was exercised for an improper purpose and beyond power (Padfield; R v Toohey; Ex parte Northern Land Council; Thompson v Randwick). The mandamus application on delay (separately advised) rides in the same proceeding.</w:t>
      </w:r>
    </w:p>
    <w:p>
      <w:pPr>
        <w:spacing w:after="150" w:line="276"/>
      </w:pPr>
      <w:r>
        <w:rPr>
          <w:rFonts w:ascii="Arial" w:cs="Arial" w:eastAsia="Arial" w:hAnsi="Arial"/>
          <w:b/>
          <w:bCs/>
        </w:rPr>
        <w:t xml:space="preserve">Reward.  </w:t>
      </w:r>
      <w:r>
        <w:rPr>
          <w:rFonts w:ascii="Arial" w:cs="Arial" w:eastAsia="Arial" w:hAnsi="Arial"/>
        </w:rPr>
        <w:t xml:space="preserve">It makes the NDIA a respondent — impossible in the Tribunal. It unlocks discovery, subpoenas and cross-examination. And an improper-purpose finding against the NDIA is fatal to the evidentiary foundation the Commission borrowed from it.</w:t>
      </w:r>
    </w:p>
    <w:p>
      <w:pPr>
        <w:spacing w:after="150" w:line="276"/>
      </w:pPr>
      <w:r>
        <w:rPr>
          <w:rFonts w:ascii="Arial" w:cs="Arial" w:eastAsia="Arial" w:hAnsi="Arial"/>
          <w:b/>
          <w:bCs/>
        </w:rPr>
        <w:t xml:space="preserve">Risk.  </w:t>
      </w:r>
      <w:r>
        <w:rPr>
          <w:rFonts w:ascii="Arial" w:cs="Arial" w:eastAsia="Arial" w:hAnsi="Arial"/>
        </w:rPr>
        <w:t xml:space="preserve">Cost, and the Federal Court’s ‘costs follow the event’ exposure (unlike the Tribunal’s limited-costs regime); the need to frame justiciable ‘decisions’ or reviewable conduct and to establish standing; and time to hearing.</w:t>
      </w:r>
    </w:p>
    <w:p>
      <w:pPr>
        <w:spacing w:after="150" w:line="276"/>
      </w:pPr>
      <w:r>
        <w:rPr>
          <w:rFonts w:ascii="Arial" w:cs="Arial" w:eastAsia="Arial" w:hAnsi="Arial"/>
          <w:b/>
          <w:bCs/>
        </w:rPr>
        <w:t xml:space="preserve">Prospects.  </w:t>
      </w:r>
      <w:r>
        <w:rPr>
          <w:rFonts w:ascii="Arial" w:cs="Arial" w:eastAsia="Arial" w:hAnsi="Arial"/>
        </w:rPr>
        <w:t xml:space="preserve">The improper-purpose case is documentary at its core (the Lundgren contradiction; the ‘request for service’ admission), which is its strength. But improper-purpose findings are hard-won: the Court will require the conduct, not merely the suspicion, to be proved.</w:t>
      </w:r>
    </w:p>
    <w:p>
      <w:pPr>
        <w:pStyle w:val="Heading1"/>
      </w:pPr>
      <w:r>
        <w:t xml:space="preserve">5.  Prong B — misfeasance in public office and Commonwealth liability</w:t>
      </w:r>
    </w:p>
    <w:p>
      <w:pPr>
        <w:spacing w:after="150" w:line="276"/>
      </w:pPr>
      <w:r>
        <w:rPr>
          <w:rFonts w:ascii="Arial" w:cs="Arial" w:eastAsia="Arial" w:hAnsi="Arial"/>
        </w:rPr>
        <w:t xml:space="preserve">A damages action in the Federal Court against the responsible officers (on the documentary record, Mr Halls; potentially Ms Lundgren), with the Commonwealth vicariously liable. The tort (Northern Territory v Mengel; Sanders v Snell) requires a public officer; an invalid or unauthorised exercise of, or refusal to exercise, power; the mental element — either targeted malice or knowledge that the act was beyond power (or reckless indifference to that); causation; and damage.</w:t>
      </w:r>
    </w:p>
    <w:p>
      <w:pPr>
        <w:spacing w:after="150" w:line="276"/>
      </w:pPr>
      <w:r>
        <w:rPr>
          <w:rFonts w:ascii="Arial" w:cs="Arial" w:eastAsia="Arial" w:hAnsi="Arial"/>
        </w:rPr>
        <w:t xml:space="preserve">The mental element is the weak joint, and it is precisely why this claim is built before it is asserted: the knowledge or recklessness is proved from the documents you extract by compulsory process, not pleaded on suspicion.</w:t>
      </w:r>
    </w:p>
    <w:p>
      <w:pPr>
        <w:spacing w:after="150" w:line="276"/>
      </w:pPr>
      <w:r>
        <w:rPr>
          <w:rFonts w:ascii="Arial" w:cs="Arial" w:eastAsia="Arial" w:hAnsi="Arial"/>
          <w:b/>
          <w:bCs/>
        </w:rPr>
        <w:t xml:space="preserve">Reward.  </w:t>
      </w:r>
      <w:r>
        <w:rPr>
          <w:rFonts w:ascii="Arial" w:cs="Arial" w:eastAsia="Arial" w:hAnsi="Arial"/>
        </w:rPr>
        <w:t xml:space="preserve">It is the only path to compensation; it recasts you as victims of unlawful targeting rather than applicants for indulgence; and a pleaded misfeasance claim transforms the Commonwealth’s settlement calculus.</w:t>
      </w:r>
    </w:p>
    <w:p>
      <w:pPr>
        <w:spacing w:after="150" w:line="276"/>
      </w:pPr>
      <w:r>
        <w:rPr>
          <w:rFonts w:ascii="Arial" w:cs="Arial" w:eastAsia="Arial" w:hAnsi="Arial"/>
          <w:b/>
          <w:bCs/>
        </w:rPr>
        <w:t xml:space="preserve">Risk.  </w:t>
      </w:r>
      <w:r>
        <w:rPr>
          <w:rFonts w:ascii="Arial" w:cs="Arial" w:eastAsia="Arial" w:hAnsi="Arial"/>
        </w:rPr>
        <w:t xml:space="preserve">The mental-element bar is high; personal defendants litigate hard; cost; and the limitation period (tort, generally six years from accrual — the conduct dates from 2022, so the window is finite). Confirm the applicable State Limitation Act and the accrual date now, and do not let the claim lapse.</w:t>
      </w:r>
    </w:p>
    <w:p>
      <w:pPr>
        <w:spacing w:after="150" w:line="276"/>
      </w:pPr>
      <w:r>
        <w:rPr>
          <w:rFonts w:ascii="Arial" w:cs="Arial" w:eastAsia="Arial" w:hAnsi="Arial"/>
          <w:b/>
          <w:bCs/>
        </w:rPr>
        <w:t xml:space="preserve">Prospects.  </w:t>
      </w:r>
      <w:r>
        <w:rPr>
          <w:rFonts w:ascii="Arial" w:cs="Arial" w:eastAsia="Arial" w:hAnsi="Arial"/>
        </w:rPr>
        <w:t xml:space="preserve">Viable but evidence-dependent. Its present function is leverage and optionality — secured simply by protecting the limitation position while the documentary case is built.</w:t>
      </w:r>
    </w:p>
    <w:p>
      <w:pPr>
        <w:pStyle w:val="Heading1"/>
      </w:pPr>
      <w:r>
        <w:t xml:space="preserve">6.  Prong C — compulsory process and the wedge</w:t>
      </w:r>
    </w:p>
    <w:p>
      <w:pPr>
        <w:spacing w:after="150" w:line="276"/>
      </w:pPr>
      <w:r>
        <w:rPr>
          <w:rFonts w:ascii="Arial" w:cs="Arial" w:eastAsia="Arial" w:hAnsi="Arial"/>
        </w:rPr>
        <w:t xml:space="preserve">This is the engine of the whole strategy. Frame every demand coldly and narrowly — the case for production is that these specific Commonwealth records are necessary to determine whether the Commission’s case rests on NDIA conduct that was unauthorised, improper, contradictory or materially incomplete. That framing is boring by design, and far more lethal than any cry of corruption. Subpoenas and summonses to the NDIA, to Mr Halls and Ms Lundgren personally, to Mr Graydon, and to the competitor businesses (Diversitas; Nurse Assist 24/7) — for the Project Archer source file, the Tactical Intelligence Report, the reallocation / ‘request for service’ records, Mr Halls’s correspondence with the competitors, and the Provider Exit Protocol. Preliminary discovery under the Federal Court Rules to identify the misfeasance respondents.</w:t>
      </w:r>
    </w:p>
    <w:p>
      <w:pPr>
        <w:spacing w:after="150" w:line="276"/>
      </w:pPr>
      <w:r>
        <w:rPr>
          <w:rFonts w:ascii="Arial" w:cs="Arial" w:eastAsia="Arial" w:hAnsi="Arial"/>
          <w:b/>
          <w:bCs/>
        </w:rPr>
        <w:t xml:space="preserve">The wedge.  </w:t>
      </w:r>
      <w:r>
        <w:rPr>
          <w:rFonts w:ascii="Arial" w:cs="Arial" w:eastAsia="Arial" w:hAnsi="Arial"/>
        </w:rPr>
        <w:t xml:space="preserve">The Commission’s own brief states that the evidence ‘draws upon statements obtained and provided by the NDIA’, that the NDIA ‘currently has an investigation ongoing’, and that the ‘Provider Exit Protocol has been actioned with the NDIA’. Ms Lundgren wrote (6 October 2022) that ‘the Agency has not directed Assist Plan Managers to cease all payments’; Mr Halls is recorded directing exactly such a freeze and installing a competitor ‘at the request of the agency’. Put both Commonwealth bodies to their election, on oath. The NDIA must call Mr Halls authorised (improper purpose binds the agency) or rogue (the referrals the Commission relied upon are tainted). The Commission must own the NDIA material (and wear the taint, and the contradiction with the AGS ‘no current criminal investigation … as relayed’) or disclaim it (and lose the spine of its case). At every branch, one Commonwealth body must point at the other.</w:t>
      </w:r>
    </w:p>
    <w:p>
      <w:pPr>
        <w:spacing w:after="150" w:line="276"/>
      </w:pPr>
      <w:r>
        <w:rPr>
          <w:rFonts w:ascii="Arial" w:cs="Arial" w:eastAsia="Arial" w:hAnsi="Arial"/>
          <w:b/>
          <w:bCs/>
        </w:rPr>
        <w:t xml:space="preserve">Reward / Risk / Prospects.  </w:t>
      </w:r>
      <w:r>
        <w:rPr>
          <w:rFonts w:ascii="Arial" w:cs="Arial" w:eastAsia="Arial" w:hAnsi="Arial"/>
        </w:rPr>
        <w:t xml:space="preserve">This is where cases break — the election is genuinely unanswerable, and the contradiction is already on the documents, so the fight will be over access, not meaning. The risks are that production is resisted and is in any event subject to the non-disclosure orders made on 26 July 2024 over the Tactical Intelligence Report (which must be discharged or qualified first); satellite litigation over privilege and public-interest immunity; and the possibility that the documents prove less than hoped.</w:t>
      </w:r>
    </w:p>
    <w:p>
      <w:pPr>
        <w:pStyle w:val="Heading1"/>
      </w:pPr>
      <w:r>
        <w:t xml:space="preserve">7.  Prong D — the pressure flanks (parallel, lawful)</w:t>
      </w:r>
    </w:p>
    <w:p>
      <w:pPr>
        <w:pStyle w:val="Heading2"/>
      </w:pPr>
      <w:r>
        <w:t xml:space="preserve">D.1  Model-litigant obligation / OLSC</w:t>
      </w:r>
    </w:p>
    <w:p>
      <w:pPr>
        <w:spacing w:after="150" w:line="276"/>
      </w:pPr>
      <w:r>
        <w:rPr>
          <w:rFonts w:ascii="Arial" w:cs="Arial" w:eastAsia="Arial" w:hAnsi="Arial"/>
        </w:rPr>
        <w:t xml:space="preserve">The Commonwealth and its lawyers are bound by the model-litigant obligation (Legal Services Directions 2025 (which commenced on 2 March 2026 and replaced the 2017 Directions), under s 55ZF of the Judiciary Act). You have concrete candidates: the admission on 7 May 2026 that eight categories of your documents were ‘inadvertently omitted’ from the tender bundle the Commonwealth certified in June 2024; the contradictory positions on whether interlocutory matters were ‘on foot’; and the attempt to convert its own delay into a mootness argument against FFG. A complaint to the Office of Legal Services Coordination is the vehicle. Candidly, the obligation is not a cause of action and its breach cannot be litigated as one (s 55ZG(3) of the Judiciary Act [PIN]); its force is reputational and institutional — but government legal teams respond to it.</w:t>
      </w:r>
    </w:p>
    <w:p>
      <w:pPr>
        <w:pStyle w:val="Heading2"/>
      </w:pPr>
      <w:r>
        <w:t xml:space="preserve">D.2  Integrity and oversight</w:t>
      </w:r>
    </w:p>
    <w:p>
      <w:pPr>
        <w:spacing w:after="150" w:line="276"/>
      </w:pPr>
      <w:r>
        <w:rPr>
          <w:rFonts w:ascii="Arial" w:cs="Arial" w:eastAsia="Arial" w:hAnsi="Arial"/>
        </w:rPr>
        <w:t xml:space="preserve">The National Anti-Corruption Commission — pitched as serious or systemic corrupt conduct affecting vulnerable NDIS participants and providers, not merely unfairness to the applicants; the Commonwealth Ombudsman (NDIA maladministration); the Office of the Australian Information Commissioner (the FOI/privacy track, already on foot). The recorded admission that investigators were ‘listening to [your] phone calls’, if it can be lifted beyond its present double-hearsay status, engages the Telecommunications (Interception and Access) Act 1979 and is a matter for the Ombudsman and potentially the police — not a venting point but an evidence-and-pressure point, to be deployed only once corroborated.</w:t>
      </w:r>
    </w:p>
    <w:p>
      <w:pPr>
        <w:pStyle w:val="Heading2"/>
      </w:pPr>
      <w:r>
        <w:t xml:space="preserve">D.3  The public-interest dimension</w:t>
      </w:r>
    </w:p>
    <w:p>
      <w:pPr>
        <w:spacing w:after="150" w:line="276"/>
      </w:pPr>
      <w:r>
        <w:rPr>
          <w:rFonts w:ascii="Arial" w:cs="Arial" w:eastAsia="Arial" w:hAnsi="Arial"/>
        </w:rPr>
        <w:t xml:space="preserve">Providers sanctioned and dismantled before any merits review, by a 24-agency Fraud Fusion Taskforce, with a banning order expiring before it could be heard, is a systemic story of genuine public interest: a question on notice through a sympathetic Senator, a Senate Estimates line, a submission to any relevant inquiry, or serious investigative journalism. This is the highest-leverage and the highest-risk lever. It can move the Commonwealth quickly or harden it into attrition; it carries real defamation exposure the moment an individual is named; and it risks antagonising the Tribunal. It is held in reserve — fired, if at all, only on the strongest documentary footing and on advice, never as catharsis.</w:t>
      </w:r>
    </w:p>
    <w:p>
      <w:pPr>
        <w:pStyle w:val="Heading1"/>
      </w:pPr>
      <w:r>
        <w:t xml:space="preserve">8.  The endgame — build the off-ramp</w:t>
      </w:r>
    </w:p>
    <w:p>
      <w:pPr>
        <w:spacing w:after="150" w:line="276"/>
      </w:pPr>
      <w:r>
        <w:rPr>
          <w:rFonts w:ascii="Arial" w:cs="Arial" w:eastAsia="Arial" w:hAnsi="Arial"/>
        </w:rPr>
        <w:t xml:space="preserve">None of this is destruction for its own sake. The purpose of the aggregate position — judicial review of the NDIA, a built misfeasance claim, the unanswerable election, the model-litigant and oversight pressure — is to make continued resistance more costly and more dangerous to the Commonwealth than resolution. The settlement you are building toward: revocation or variation of the orders; removal of the expired FFG order from the public register; costs; and a confidential resolution of the damages exposure. Every prong is also a bargaining chip — design each so that it can be traded.</w:t>
      </w:r>
    </w:p>
    <w:p>
      <w:pPr>
        <w:pStyle w:val="Heading1"/>
      </w:pPr>
      <w:r>
        <w:t xml:space="preserve">9.  The risk ledger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D9E2EC" w:val="clear"/>
            <w:tcMar>
              <w:top w:type="dxa" w:w="60"/>
              <w:left w:type="dxa" w:w="110"/>
              <w:bottom w:type="dxa" w:w="60"/>
              <w:right w:type="dxa" w:w="110"/>
            </w:tcMar>
          </w:tcPr>
          <w:p>
            <w:pPr>
              <w:spacing w:after="0" w:line="264"/>
            </w:pPr>
            <w:r>
              <w:rPr>
                <w:rFonts w:ascii="Arial" w:cs="Arial" w:eastAsia="Arial" w:hAnsi="Arial"/>
                <w:b/>
                <w:bCs/>
                <w:sz w:val="19"/>
                <w:szCs w:val="19"/>
              </w:rPr>
              <w:t xml:space="preserve">Risk</w:t>
            </w:r>
          </w:p>
        </w:tc>
        <w:tc>
          <w:tcPr>
            <w:tcW w:type="dxa" w:w="6360"/>
            <w:tcBorders>
              <w:top w:val="single" w:color="BBBBBB" w:sz="1"/>
              <w:left w:val="single" w:color="BBBBBB" w:sz="1"/>
              <w:bottom w:val="single" w:color="BBBBBB" w:sz="1"/>
              <w:right w:val="single" w:color="BBBBBB" w:sz="1"/>
            </w:tcBorders>
            <w:shd w:fill="D9E2EC" w:val="clear"/>
            <w:tcMar>
              <w:top w:type="dxa" w:w="60"/>
              <w:left w:type="dxa" w:w="110"/>
              <w:bottom w:type="dxa" w:w="60"/>
              <w:right w:type="dxa" w:w="110"/>
            </w:tcMar>
          </w:tcPr>
          <w:p>
            <w:pPr>
              <w:spacing w:after="0" w:line="264"/>
            </w:pPr>
            <w:r>
              <w:rPr>
                <w:rFonts w:ascii="Arial" w:cs="Arial" w:eastAsia="Arial" w:hAnsi="Arial"/>
                <w:b/>
                <w:bCs/>
                <w:sz w:val="19"/>
                <w:szCs w:val="19"/>
              </w:rPr>
              <w:t xml:space="preserve">How it is managed</w:t>
            </w:r>
          </w:p>
        </w:tc>
      </w:tr>
      <w:tr>
        <w:trPr>
          <w:tblHeader w:val="false"/>
        </w:trP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4"/>
            </w:pPr>
            <w:r>
              <w:rPr>
                <w:rFonts w:ascii="Arial" w:cs="Arial" w:eastAsia="Arial" w:hAnsi="Arial"/>
                <w:sz w:val="19"/>
                <w:szCs w:val="19"/>
              </w:rPr>
              <w:t xml:space="preserve">Out-resourced by the Commonwealth</w:t>
            </w:r>
          </w:p>
        </w:tc>
        <w:tc>
          <w:tcPr>
            <w:tcW w:type="dxa" w:w="63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4"/>
            </w:pPr>
            <w:r>
              <w:rPr>
                <w:rFonts w:ascii="Arial" w:cs="Arial" w:eastAsia="Arial" w:hAnsi="Arial"/>
                <w:sz w:val="19"/>
                <w:szCs w:val="19"/>
              </w:rPr>
              <w:t xml:space="preserve">Sequence by leverage-per-dollar; lead with the cheap, high-pressure moves (the expedition request, the OLSC letter, targeted FOI); reserve the expensive fronts.</w:t>
            </w:r>
          </w:p>
        </w:tc>
      </w:tr>
      <w:tr>
        <w:trPr>
          <w:tblHeader w:val="false"/>
        </w:trP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4"/>
            </w:pPr>
            <w:r>
              <w:rPr>
                <w:rFonts w:ascii="Arial" w:cs="Arial" w:eastAsia="Arial" w:hAnsi="Arial"/>
                <w:sz w:val="19"/>
                <w:szCs w:val="19"/>
              </w:rPr>
              <w:t xml:space="preserve">Adverse costs in the Federal Court</w:t>
            </w:r>
          </w:p>
        </w:tc>
        <w:tc>
          <w:tcPr>
            <w:tcW w:type="dxa" w:w="63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4"/>
            </w:pPr>
            <w:r>
              <w:rPr>
                <w:rFonts w:ascii="Arial" w:cs="Arial" w:eastAsia="Arial" w:hAnsi="Arial"/>
                <w:sz w:val="19"/>
                <w:szCs w:val="19"/>
              </w:rPr>
              <w:t xml:space="preserve">Choose the vehicle and the moment with counsel; the Tribunal review (limited costs) remains the safety net.</w:t>
            </w:r>
          </w:p>
        </w:tc>
      </w:tr>
      <w:tr>
        <w:trPr>
          <w:tblHeader w:val="false"/>
        </w:trP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4"/>
            </w:pPr>
            <w:r>
              <w:rPr>
                <w:rFonts w:ascii="Arial" w:cs="Arial" w:eastAsia="Arial" w:hAnsi="Arial"/>
                <w:sz w:val="19"/>
                <w:szCs w:val="19"/>
              </w:rPr>
              <w:t xml:space="preserve">Misfeasance: high mental-element bar; limitation</w:t>
            </w:r>
          </w:p>
        </w:tc>
        <w:tc>
          <w:tcPr>
            <w:tcW w:type="dxa" w:w="63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4"/>
            </w:pPr>
            <w:r>
              <w:rPr>
                <w:rFonts w:ascii="Arial" w:cs="Arial" w:eastAsia="Arial" w:hAnsi="Arial"/>
                <w:sz w:val="19"/>
                <w:szCs w:val="19"/>
              </w:rPr>
              <w:t xml:space="preserve">Build, do not prematurely plead; protect the limitation date now and prove the mental element from produced documents.</w:t>
            </w:r>
          </w:p>
        </w:tc>
      </w:tr>
      <w:tr>
        <w:trPr>
          <w:tblHeader w:val="false"/>
        </w:trP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4"/>
            </w:pPr>
            <w:r>
              <w:rPr>
                <w:rFonts w:ascii="Arial" w:cs="Arial" w:eastAsia="Arial" w:hAnsi="Arial"/>
                <w:sz w:val="19"/>
                <w:szCs w:val="19"/>
              </w:rPr>
              <w:t xml:space="preserve">Antagonising the Tribunal mid-merits</w:t>
            </w:r>
          </w:p>
        </w:tc>
        <w:tc>
          <w:tcPr>
            <w:tcW w:type="dxa" w:w="63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4"/>
            </w:pPr>
            <w:r>
              <w:rPr>
                <w:rFonts w:ascii="Arial" w:cs="Arial" w:eastAsia="Arial" w:hAnsi="Arial"/>
                <w:sz w:val="19"/>
                <w:szCs w:val="19"/>
              </w:rPr>
              <w:t xml:space="preserve">Impeccable conduct in the room; keep the offensive in other forums; never conflate the two.</w:t>
            </w:r>
          </w:p>
        </w:tc>
      </w:tr>
      <w:tr>
        <w:trPr>
          <w:tblHeader w:val="false"/>
        </w:trP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4"/>
            </w:pPr>
            <w:r>
              <w:rPr>
                <w:rFonts w:ascii="Arial" w:cs="Arial" w:eastAsia="Arial" w:hAnsi="Arial"/>
                <w:sz w:val="19"/>
                <w:szCs w:val="19"/>
              </w:rPr>
              <w:t xml:space="preserve">Building on unverified ‘dramatic’ items</w:t>
            </w:r>
          </w:p>
        </w:tc>
        <w:tc>
          <w:tcPr>
            <w:tcW w:type="dxa" w:w="63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4"/>
            </w:pPr>
            <w:r>
              <w:rPr>
                <w:rFonts w:ascii="Arial" w:cs="Arial" w:eastAsia="Arial" w:hAnsi="Arial"/>
                <w:sz w:val="19"/>
                <w:szCs w:val="19"/>
              </w:rPr>
              <w:t xml:space="preserve">Anchor only on the verified documentary spine; keep unproven items out until corroborated.</w:t>
            </w:r>
          </w:p>
        </w:tc>
      </w:tr>
      <w:tr>
        <w:trPr>
          <w:tblHeader w:val="false"/>
        </w:trP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4"/>
            </w:pPr>
            <w:r>
              <w:rPr>
                <w:rFonts w:ascii="Arial" w:cs="Arial" w:eastAsia="Arial" w:hAnsi="Arial"/>
                <w:sz w:val="19"/>
                <w:szCs w:val="19"/>
              </w:rPr>
              <w:t xml:space="preserve">Attrition on the family</w:t>
            </w:r>
          </w:p>
        </w:tc>
        <w:tc>
          <w:tcPr>
            <w:tcW w:type="dxa" w:w="63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4"/>
            </w:pPr>
            <w:r>
              <w:rPr>
                <w:rFonts w:ascii="Arial" w:cs="Arial" w:eastAsia="Arial" w:hAnsi="Arial"/>
                <w:sz w:val="19"/>
                <w:szCs w:val="19"/>
              </w:rPr>
              <w:t xml:space="preserve">This is a marathon — pace it, resource it, and protect your bandwidth; the strategy assumes endurance, so guard it.</w:t>
            </w:r>
          </w:p>
        </w:tc>
      </w:tr>
    </w:tbl>
    <w:p>
      <w:pPr>
        <w:pStyle w:val="Heading1"/>
      </w:pPr>
      <w:r>
        <w:t xml:space="preserve">10.  What I would not do</w:t>
      </w:r>
    </w:p>
    <w:p>
      <w:pPr>
        <w:pStyle w:val="ListParagraph"/>
        <w:numPr>
          <w:ilvl w:val="0"/>
          <w:numId w:val="2"/>
        </w:numPr>
        <w:spacing w:after="120" w:line="276"/>
      </w:pPr>
      <w:r>
        <w:rPr>
          <w:rFonts w:ascii="Arial" w:cs="Arial" w:eastAsia="Arial" w:hAnsi="Arial"/>
        </w:rPr>
        <w:t xml:space="preserve">Name individuals publicly as fraudsters or criminals (defamation exposure, and contrary to your own standing rule).</w:t>
      </w:r>
    </w:p>
    <w:p>
      <w:pPr>
        <w:pStyle w:val="ListParagraph"/>
        <w:numPr>
          <w:ilvl w:val="0"/>
          <w:numId w:val="2"/>
        </w:numPr>
        <w:spacing w:after="120" w:line="276"/>
      </w:pPr>
      <w:r>
        <w:rPr>
          <w:rFonts w:ascii="Arial" w:cs="Arial" w:eastAsia="Arial" w:hAnsi="Arial"/>
        </w:rPr>
        <w:t xml:space="preserve">Anything capable of being read as pressuring or approaching witnesses.</w:t>
      </w:r>
    </w:p>
    <w:p>
      <w:pPr>
        <w:pStyle w:val="ListParagraph"/>
        <w:numPr>
          <w:ilvl w:val="0"/>
          <w:numId w:val="2"/>
        </w:numPr>
        <w:spacing w:after="120" w:line="276"/>
      </w:pPr>
      <w:r>
        <w:rPr>
          <w:rFonts w:ascii="Arial" w:cs="Arial" w:eastAsia="Arial" w:hAnsi="Arial"/>
        </w:rPr>
        <w:t xml:space="preserve">Kitchen-sink filings that alienate the bench; every step must be clean and purposeful.</w:t>
      </w:r>
    </w:p>
    <w:p>
      <w:pPr>
        <w:pStyle w:val="ListParagraph"/>
        <w:numPr>
          <w:ilvl w:val="0"/>
          <w:numId w:val="2"/>
        </w:numPr>
        <w:spacing w:after="120" w:line="276"/>
      </w:pPr>
      <w:r>
        <w:rPr>
          <w:rFonts w:ascii="Arial" w:cs="Arial" w:eastAsia="Arial" w:hAnsi="Arial"/>
        </w:rPr>
        <w:t xml:space="preserve">Assert the unverified dramatic items (the ‘$200k’, ‘baptism by fire’, the un-located recantation) as fact.</w:t>
      </w:r>
    </w:p>
    <w:p>
      <w:pPr>
        <w:pStyle w:val="Heading1"/>
      </w:pPr>
      <w:r>
        <w:t xml:space="preserve">11.  The sequenced plan</w:t>
      </w:r>
    </w:p>
    <w:p>
      <w:pPr>
        <w:pStyle w:val="ListParagraph"/>
        <w:numPr>
          <w:ilvl w:val="0"/>
          <w:numId w:val="3"/>
        </w:numPr>
        <w:spacing w:after="130" w:line="276"/>
      </w:pPr>
      <w:r>
        <w:rPr>
          <w:rFonts w:ascii="Arial" w:cs="Arial" w:eastAsia="Arial" w:hAnsi="Arial"/>
          <w:b/>
          <w:bCs/>
        </w:rPr>
        <w:t xml:space="preserve">Immediate.  </w:t>
      </w:r>
      <w:r>
        <w:rPr>
          <w:rFonts w:ascii="Arial" w:cs="Arial" w:eastAsia="Arial" w:hAnsi="Arial"/>
        </w:rPr>
        <w:t xml:space="preserve">File the expedition / severance-decision request (the necessary demand); send the OLSC model-litigant letter; protect the misfeasance limitation position; pin every [PIN] authority.</w:t>
      </w:r>
    </w:p>
    <w:p>
      <w:pPr>
        <w:pStyle w:val="ListParagraph"/>
        <w:numPr>
          <w:ilvl w:val="0"/>
          <w:numId w:val="3"/>
        </w:numPr>
        <w:spacing w:after="130" w:line="276"/>
      </w:pPr>
      <w:r>
        <w:rPr>
          <w:rFonts w:ascii="Arial" w:cs="Arial" w:eastAsia="Arial" w:hAnsi="Arial"/>
          <w:b/>
          <w:bCs/>
        </w:rPr>
        <w:t xml:space="preserve">Short.  </w:t>
      </w:r>
      <w:r>
        <w:rPr>
          <w:rFonts w:ascii="Arial" w:cs="Arial" w:eastAsia="Arial" w:hAnsi="Arial"/>
        </w:rPr>
        <w:t xml:space="preserve">Serve the subpoena / summons schedule and a production notice on the Commission; move to discharge or qualify the 26 July 2024 non-disclosure orders; amend the Statements of Facts, Issues and Contentions to add improper purpose (clean-anchor-first); run the targeted FOI / privacy requests.</w:t>
      </w:r>
    </w:p>
    <w:p>
      <w:pPr>
        <w:pStyle w:val="ListParagraph"/>
        <w:numPr>
          <w:ilvl w:val="0"/>
          <w:numId w:val="3"/>
        </w:numPr>
        <w:spacing w:after="130" w:line="276"/>
      </w:pPr>
      <w:r>
        <w:rPr>
          <w:rFonts w:ascii="Arial" w:cs="Arial" w:eastAsia="Arial" w:hAnsi="Arial"/>
          <w:b/>
          <w:bCs/>
        </w:rPr>
        <w:t xml:space="preserve">Medium.  </w:t>
      </w:r>
      <w:r>
        <w:rPr>
          <w:rFonts w:ascii="Arial" w:cs="Arial" w:eastAsia="Arial" w:hAnsi="Arial"/>
        </w:rPr>
        <w:t xml:space="preserve">File the Federal Court s 39B proceeding (judicial review of NDIA conduct + mandamus); build the misfeasance claim from the produced documents; sequence the oversight referrals as the record peaks.</w:t>
      </w:r>
    </w:p>
    <w:p>
      <w:pPr>
        <w:pStyle w:val="ListParagraph"/>
        <w:numPr>
          <w:ilvl w:val="0"/>
          <w:numId w:val="3"/>
        </w:numPr>
        <w:spacing w:after="130" w:line="276"/>
      </w:pPr>
      <w:r>
        <w:rPr>
          <w:rFonts w:ascii="Arial" w:cs="Arial" w:eastAsia="Arial" w:hAnsi="Arial"/>
          <w:b/>
          <w:bCs/>
        </w:rPr>
        <w:t xml:space="preserve">Reserve.  </w:t>
      </w:r>
      <w:r>
        <w:rPr>
          <w:rFonts w:ascii="Arial" w:cs="Arial" w:eastAsia="Arial" w:hAnsi="Arial"/>
        </w:rPr>
        <w:t xml:space="preserve">The public-interest / Senate lever, on advice and on the strongest footing; the permanent stay, filed within days only if criminal charges are ever laid.</w:t>
      </w:r>
    </w:p>
    <w:p>
      <w:pPr>
        <w:spacing w:after="150" w:line="276"/>
      </w:pPr>
      <w:r>
        <w:rPr>
          <w:rFonts w:ascii="Arial" w:cs="Arial" w:eastAsia="Arial" w:hAnsi="Arial"/>
        </w:rPr>
        <w:t xml:space="preserve">This dovetails with — and amplifies — the existing </w:t>
      </w:r>
      <w:r>
        <w:rPr>
          <w:rFonts w:ascii="Arial" w:cs="Arial" w:eastAsia="Arial" w:hAnsi="Arial"/>
          <w:i/>
          <w:iCs/>
        </w:rPr>
        <w:t xml:space="preserve">Sequenced Strategy Play</w:t>
      </w:r>
      <w:r>
        <w:rPr>
          <w:rFonts w:ascii="Arial" w:cs="Arial" w:eastAsia="Arial" w:hAnsi="Arial"/>
        </w:rPr>
        <w:t xml:space="preserve"> (Phases 0–6). It is a sharpening of that play, not a new direction.</w:t>
      </w:r>
    </w:p>
    <w:p>
      <w:pPr>
        <w:pStyle w:val="Heading1"/>
      </w:pPr>
      <w:r>
        <w:t xml:space="preserve">12.  Authorities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50"/>
        <w:gridCol w:w="4010"/>
        <w:gridCol w:w="1800"/>
      </w:tblGrid>
      <w:tr>
        <w:trPr>
          <w:tblHeader/>
        </w:trPr>
        <w:tc>
          <w:tcPr>
            <w:tcW w:type="dxa" w:w="3550"/>
            <w:tcBorders>
              <w:top w:val="single" w:color="BBBBBB" w:sz="1"/>
              <w:left w:val="single" w:color="BBBBBB" w:sz="1"/>
              <w:bottom w:val="single" w:color="BBBBBB" w:sz="1"/>
              <w:right w:val="single" w:color="BBBBBB" w:sz="1"/>
            </w:tcBorders>
            <w:shd w:fill="D9E2EC" w:val="clear"/>
            <w:tcMar>
              <w:top w:type="dxa" w:w="60"/>
              <w:left w:type="dxa" w:w="110"/>
              <w:bottom w:type="dxa" w:w="60"/>
              <w:right w:type="dxa" w:w="110"/>
            </w:tcMar>
          </w:tcPr>
          <w:p>
            <w:pPr>
              <w:spacing w:after="0" w:line="264"/>
            </w:pPr>
            <w:r>
              <w:rPr>
                <w:rFonts w:ascii="Arial" w:cs="Arial" w:eastAsia="Arial" w:hAnsi="Arial"/>
                <w:b/>
                <w:bCs/>
                <w:sz w:val="19"/>
                <w:szCs w:val="19"/>
              </w:rPr>
              <w:t xml:space="preserve">Authority</w:t>
            </w:r>
          </w:p>
        </w:tc>
        <w:tc>
          <w:tcPr>
            <w:tcW w:type="dxa" w:w="4010"/>
            <w:tcBorders>
              <w:top w:val="single" w:color="BBBBBB" w:sz="1"/>
              <w:left w:val="single" w:color="BBBBBB" w:sz="1"/>
              <w:bottom w:val="single" w:color="BBBBBB" w:sz="1"/>
              <w:right w:val="single" w:color="BBBBBB" w:sz="1"/>
            </w:tcBorders>
            <w:shd w:fill="D9E2EC" w:val="clear"/>
            <w:tcMar>
              <w:top w:type="dxa" w:w="60"/>
              <w:left w:type="dxa" w:w="110"/>
              <w:bottom w:type="dxa" w:w="60"/>
              <w:right w:type="dxa" w:w="110"/>
            </w:tcMar>
          </w:tcPr>
          <w:p>
            <w:pPr>
              <w:spacing w:after="0" w:line="264"/>
            </w:pPr>
            <w:r>
              <w:rPr>
                <w:rFonts w:ascii="Arial" w:cs="Arial" w:eastAsia="Arial" w:hAnsi="Arial"/>
                <w:b/>
                <w:bCs/>
                <w:sz w:val="19"/>
                <w:szCs w:val="19"/>
              </w:rPr>
              <w:t xml:space="preserve">Proposition</w:t>
            </w:r>
          </w:p>
        </w:tc>
        <w:tc>
          <w:tcPr>
            <w:tcW w:type="dxa" w:w="1800"/>
            <w:tcBorders>
              <w:top w:val="single" w:color="BBBBBB" w:sz="1"/>
              <w:left w:val="single" w:color="BBBBBB" w:sz="1"/>
              <w:bottom w:val="single" w:color="BBBBBB" w:sz="1"/>
              <w:right w:val="single" w:color="BBBBBB" w:sz="1"/>
            </w:tcBorders>
            <w:shd w:fill="D9E2EC" w:val="clear"/>
            <w:tcMar>
              <w:top w:type="dxa" w:w="60"/>
              <w:left w:type="dxa" w:w="110"/>
              <w:bottom w:type="dxa" w:w="60"/>
              <w:right w:type="dxa" w:w="110"/>
            </w:tcMar>
          </w:tcPr>
          <w:p>
            <w:pPr>
              <w:spacing w:after="0" w:line="264"/>
            </w:pPr>
            <w:r>
              <w:rPr>
                <w:rFonts w:ascii="Arial" w:cs="Arial" w:eastAsia="Arial" w:hAnsi="Arial"/>
                <w:b/>
                <w:bCs/>
                <w:sz w:val="19"/>
                <w:szCs w:val="19"/>
              </w:rPr>
              <w:t xml:space="preserve">Status</w:t>
            </w:r>
          </w:p>
        </w:tc>
      </w:tr>
      <w:tr>
        <w:trPr>
          <w:tblHeader w:val="false"/>
        </w:trPr>
        <w:tc>
          <w:tcPr>
            <w:tcW w:type="dxa" w:w="355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4"/>
            </w:pPr>
            <w:r>
              <w:rPr>
                <w:rFonts w:ascii="Arial" w:cs="Arial" w:eastAsia="Arial" w:hAnsi="Arial"/>
                <w:sz w:val="19"/>
                <w:szCs w:val="19"/>
              </w:rPr>
              <w:t xml:space="preserve">Judiciary Act 1903 (Cth) s 39B</w:t>
            </w:r>
          </w:p>
        </w:tc>
        <w:tc>
          <w:tcPr>
            <w:tcW w:type="dxa" w:w="401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4"/>
            </w:pPr>
            <w:r>
              <w:rPr>
                <w:rFonts w:ascii="Arial" w:cs="Arial" w:eastAsia="Arial" w:hAnsi="Arial"/>
                <w:sz w:val="19"/>
                <w:szCs w:val="19"/>
              </w:rPr>
              <w:t xml:space="preserve">Federal Court: mandamus / injunction against an officer of the Commonwealth</w:t>
            </w:r>
          </w:p>
        </w:tc>
        <w:tc>
          <w:tcPr>
            <w:tcW w:type="dxa" w:w="18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4"/>
            </w:pPr>
            <w:r>
              <w:rPr>
                <w:rFonts w:ascii="Arial" w:cs="Arial" w:eastAsia="Arial" w:hAnsi="Arial"/>
                <w:sz w:val="19"/>
                <w:szCs w:val="19"/>
              </w:rPr>
              <w:t xml:space="preserve">PIN</w:t>
            </w:r>
          </w:p>
        </w:tc>
      </w:tr>
      <w:tr>
        <w:trPr>
          <w:tblHeader w:val="false"/>
        </w:trPr>
        <w:tc>
          <w:tcPr>
            <w:tcW w:type="dxa" w:w="355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4"/>
            </w:pPr>
            <w:r>
              <w:rPr>
                <w:rFonts w:ascii="Arial" w:cs="Arial" w:eastAsia="Arial" w:hAnsi="Arial"/>
                <w:sz w:val="19"/>
                <w:szCs w:val="19"/>
              </w:rPr>
              <w:t xml:space="preserve">Padfield v Minister of Agriculture [1968] AC 997</w:t>
            </w:r>
          </w:p>
        </w:tc>
        <w:tc>
          <w:tcPr>
            <w:tcW w:type="dxa" w:w="401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4"/>
            </w:pPr>
            <w:r>
              <w:rPr>
                <w:rFonts w:ascii="Arial" w:cs="Arial" w:eastAsia="Arial" w:hAnsi="Arial"/>
                <w:sz w:val="19"/>
                <w:szCs w:val="19"/>
              </w:rPr>
              <w:t xml:space="preserve">Power must be used for the purpose for which it was conferred</w:t>
            </w:r>
          </w:p>
        </w:tc>
        <w:tc>
          <w:tcPr>
            <w:tcW w:type="dxa" w:w="18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4"/>
            </w:pPr>
            <w:r>
              <w:rPr>
                <w:rFonts w:ascii="Arial" w:cs="Arial" w:eastAsia="Arial" w:hAnsi="Arial"/>
                <w:sz w:val="19"/>
                <w:szCs w:val="19"/>
              </w:rPr>
              <w:t xml:space="preserve">VERIFIED</w:t>
            </w:r>
          </w:p>
        </w:tc>
      </w:tr>
      <w:tr>
        <w:trPr>
          <w:tblHeader w:val="false"/>
        </w:trPr>
        <w:tc>
          <w:tcPr>
            <w:tcW w:type="dxa" w:w="355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4"/>
            </w:pPr>
            <w:r>
              <w:rPr>
                <w:rFonts w:ascii="Arial" w:cs="Arial" w:eastAsia="Arial" w:hAnsi="Arial"/>
                <w:sz w:val="19"/>
                <w:szCs w:val="19"/>
              </w:rPr>
              <w:t xml:space="preserve">R v Toohey; Ex parte Northern Land Council (1981) 151 CLR 170</w:t>
            </w:r>
          </w:p>
        </w:tc>
        <w:tc>
          <w:tcPr>
            <w:tcW w:type="dxa" w:w="401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4"/>
            </w:pPr>
            <w:r>
              <w:rPr>
                <w:rFonts w:ascii="Arial" w:cs="Arial" w:eastAsia="Arial" w:hAnsi="Arial"/>
                <w:sz w:val="19"/>
                <w:szCs w:val="19"/>
              </w:rPr>
              <w:t xml:space="preserve">Improper-purpose review of executive power</w:t>
            </w:r>
          </w:p>
        </w:tc>
        <w:tc>
          <w:tcPr>
            <w:tcW w:type="dxa" w:w="18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4"/>
            </w:pPr>
            <w:r>
              <w:rPr>
                <w:rFonts w:ascii="Arial" w:cs="Arial" w:eastAsia="Arial" w:hAnsi="Arial"/>
                <w:sz w:val="19"/>
                <w:szCs w:val="19"/>
              </w:rPr>
              <w:t xml:space="preserve">VERIFIED</w:t>
            </w:r>
          </w:p>
        </w:tc>
      </w:tr>
      <w:tr>
        <w:trPr>
          <w:tblHeader w:val="false"/>
        </w:trPr>
        <w:tc>
          <w:tcPr>
            <w:tcW w:type="dxa" w:w="355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4"/>
            </w:pPr>
            <w:r>
              <w:rPr>
                <w:rFonts w:ascii="Arial" w:cs="Arial" w:eastAsia="Arial" w:hAnsi="Arial"/>
                <w:sz w:val="19"/>
                <w:szCs w:val="19"/>
              </w:rPr>
              <w:t xml:space="preserve">Thompson v Randwick Corporation (1950) 81 CLR 87</w:t>
            </w:r>
          </w:p>
        </w:tc>
        <w:tc>
          <w:tcPr>
            <w:tcW w:type="dxa" w:w="401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4"/>
            </w:pPr>
            <w:r>
              <w:rPr>
                <w:rFonts w:ascii="Arial" w:cs="Arial" w:eastAsia="Arial" w:hAnsi="Arial"/>
                <w:sz w:val="19"/>
                <w:szCs w:val="19"/>
              </w:rPr>
              <w:t xml:space="preserve">Improper / multiple purposes</w:t>
            </w:r>
          </w:p>
        </w:tc>
        <w:tc>
          <w:tcPr>
            <w:tcW w:type="dxa" w:w="18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4"/>
            </w:pPr>
            <w:r>
              <w:rPr>
                <w:rFonts w:ascii="Arial" w:cs="Arial" w:eastAsia="Arial" w:hAnsi="Arial"/>
                <w:sz w:val="19"/>
                <w:szCs w:val="19"/>
              </w:rPr>
              <w:t xml:space="preserve">VERIFIED</w:t>
            </w:r>
          </w:p>
        </w:tc>
      </w:tr>
      <w:tr>
        <w:trPr>
          <w:tblHeader w:val="false"/>
        </w:trPr>
        <w:tc>
          <w:tcPr>
            <w:tcW w:type="dxa" w:w="355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4"/>
            </w:pPr>
            <w:r>
              <w:rPr>
                <w:rFonts w:ascii="Arial" w:cs="Arial" w:eastAsia="Arial" w:hAnsi="Arial"/>
                <w:sz w:val="19"/>
                <w:szCs w:val="19"/>
              </w:rPr>
              <w:t xml:space="preserve">Northern Territory v Mengel (1995) 185 CLR 307</w:t>
            </w:r>
          </w:p>
        </w:tc>
        <w:tc>
          <w:tcPr>
            <w:tcW w:type="dxa" w:w="401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4"/>
            </w:pPr>
            <w:r>
              <w:rPr>
                <w:rFonts w:ascii="Arial" w:cs="Arial" w:eastAsia="Arial" w:hAnsi="Arial"/>
                <w:sz w:val="19"/>
                <w:szCs w:val="19"/>
              </w:rPr>
              <w:t xml:space="preserve">Elements of misfeasance in public office</w:t>
            </w:r>
          </w:p>
        </w:tc>
        <w:tc>
          <w:tcPr>
            <w:tcW w:type="dxa" w:w="18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4"/>
            </w:pPr>
            <w:r>
              <w:rPr>
                <w:rFonts w:ascii="Arial" w:cs="Arial" w:eastAsia="Arial" w:hAnsi="Arial"/>
                <w:sz w:val="19"/>
                <w:szCs w:val="19"/>
              </w:rPr>
              <w:t xml:space="preserve">VERIFIED</w:t>
            </w:r>
          </w:p>
        </w:tc>
      </w:tr>
      <w:tr>
        <w:trPr>
          <w:tblHeader w:val="false"/>
        </w:trPr>
        <w:tc>
          <w:tcPr>
            <w:tcW w:type="dxa" w:w="355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4"/>
            </w:pPr>
            <w:r>
              <w:rPr>
                <w:rFonts w:ascii="Arial" w:cs="Arial" w:eastAsia="Arial" w:hAnsi="Arial"/>
                <w:sz w:val="19"/>
                <w:szCs w:val="19"/>
              </w:rPr>
              <w:t xml:space="preserve">Sanders v Snell (1998) 196 CLR 329</w:t>
            </w:r>
          </w:p>
        </w:tc>
        <w:tc>
          <w:tcPr>
            <w:tcW w:type="dxa" w:w="401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4"/>
            </w:pPr>
            <w:r>
              <w:rPr>
                <w:rFonts w:ascii="Arial" w:cs="Arial" w:eastAsia="Arial" w:hAnsi="Arial"/>
                <w:sz w:val="19"/>
                <w:szCs w:val="19"/>
              </w:rPr>
              <w:t xml:space="preserve">Misfeasance — refines the elements</w:t>
            </w:r>
          </w:p>
        </w:tc>
        <w:tc>
          <w:tcPr>
            <w:tcW w:type="dxa" w:w="18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4"/>
            </w:pPr>
            <w:r>
              <w:rPr>
                <w:rFonts w:ascii="Arial" w:cs="Arial" w:eastAsia="Arial" w:hAnsi="Arial"/>
                <w:sz w:val="19"/>
                <w:szCs w:val="19"/>
              </w:rPr>
              <w:t xml:space="preserve">VERIFIED</w:t>
            </w:r>
          </w:p>
        </w:tc>
      </w:tr>
      <w:tr>
        <w:trPr>
          <w:tblHeader w:val="false"/>
        </w:trPr>
        <w:tc>
          <w:tcPr>
            <w:tcW w:type="dxa" w:w="355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4"/>
            </w:pPr>
            <w:r>
              <w:rPr>
                <w:rFonts w:ascii="Arial" w:cs="Arial" w:eastAsia="Arial" w:hAnsi="Arial"/>
                <w:sz w:val="19"/>
                <w:szCs w:val="19"/>
              </w:rPr>
              <w:t xml:space="preserve">Legal Services Directions 2025 (Judiciary Act s 55ZF, s 55ZG)</w:t>
            </w:r>
          </w:p>
        </w:tc>
        <w:tc>
          <w:tcPr>
            <w:tcW w:type="dxa" w:w="401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4"/>
            </w:pPr>
            <w:r>
              <w:rPr>
                <w:rFonts w:ascii="Arial" w:cs="Arial" w:eastAsia="Arial" w:hAnsi="Arial"/>
                <w:sz w:val="19"/>
                <w:szCs w:val="19"/>
              </w:rPr>
              <w:t xml:space="preserve">Model-litigant obligation; not enforceable by third parties</w:t>
            </w:r>
          </w:p>
        </w:tc>
        <w:tc>
          <w:tcPr>
            <w:tcW w:type="dxa" w:w="18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4"/>
            </w:pPr>
            <w:r>
              <w:rPr>
                <w:rFonts w:ascii="Arial" w:cs="Arial" w:eastAsia="Arial" w:hAnsi="Arial"/>
                <w:sz w:val="19"/>
                <w:szCs w:val="19"/>
              </w:rPr>
              <w:t xml:space="preserve">PIN</w:t>
            </w:r>
          </w:p>
        </w:tc>
      </w:tr>
      <w:tr>
        <w:trPr>
          <w:tblHeader w:val="false"/>
        </w:trPr>
        <w:tc>
          <w:tcPr>
            <w:tcW w:type="dxa" w:w="355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4"/>
            </w:pPr>
            <w:r>
              <w:rPr>
                <w:rFonts w:ascii="Arial" w:cs="Arial" w:eastAsia="Arial" w:hAnsi="Arial"/>
                <w:sz w:val="19"/>
                <w:szCs w:val="19"/>
              </w:rPr>
              <w:t xml:space="preserve">Federal Court Rules 2011 (Cth) rr 7.22–7.23</w:t>
            </w:r>
          </w:p>
        </w:tc>
        <w:tc>
          <w:tcPr>
            <w:tcW w:type="dxa" w:w="401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4"/>
            </w:pPr>
            <w:r>
              <w:rPr>
                <w:rFonts w:ascii="Arial" w:cs="Arial" w:eastAsia="Arial" w:hAnsi="Arial"/>
                <w:sz w:val="19"/>
                <w:szCs w:val="19"/>
              </w:rPr>
              <w:t xml:space="preserve">Preliminary discovery to identify a prospective respondent</w:t>
            </w:r>
          </w:p>
        </w:tc>
        <w:tc>
          <w:tcPr>
            <w:tcW w:type="dxa" w:w="18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4"/>
            </w:pPr>
            <w:r>
              <w:rPr>
                <w:rFonts w:ascii="Arial" w:cs="Arial" w:eastAsia="Arial" w:hAnsi="Arial"/>
                <w:sz w:val="19"/>
                <w:szCs w:val="19"/>
              </w:rPr>
              <w:t xml:space="preserve">PIN</w:t>
            </w:r>
          </w:p>
        </w:tc>
      </w:tr>
      <w:tr>
        <w:trPr>
          <w:tblHeader w:val="false"/>
        </w:trPr>
        <w:tc>
          <w:tcPr>
            <w:tcW w:type="dxa" w:w="355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4"/>
            </w:pPr>
            <w:r>
              <w:rPr>
                <w:rFonts w:ascii="Arial" w:cs="Arial" w:eastAsia="Arial" w:hAnsi="Arial"/>
                <w:sz w:val="19"/>
                <w:szCs w:val="19"/>
              </w:rPr>
              <w:t xml:space="preserve">Telecommunications (Interception and Access) Act 1979 (Cth)</w:t>
            </w:r>
          </w:p>
        </w:tc>
        <w:tc>
          <w:tcPr>
            <w:tcW w:type="dxa" w:w="401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4"/>
            </w:pPr>
            <w:r>
              <w:rPr>
                <w:rFonts w:ascii="Arial" w:cs="Arial" w:eastAsia="Arial" w:hAnsi="Arial"/>
                <w:sz w:val="19"/>
                <w:szCs w:val="19"/>
              </w:rPr>
              <w:t xml:space="preserve">Unlawful interception; oversight</w:t>
            </w:r>
          </w:p>
        </w:tc>
        <w:tc>
          <w:tcPr>
            <w:tcW w:type="dxa" w:w="18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4"/>
            </w:pPr>
            <w:r>
              <w:rPr>
                <w:rFonts w:ascii="Arial" w:cs="Arial" w:eastAsia="Arial" w:hAnsi="Arial"/>
                <w:sz w:val="19"/>
                <w:szCs w:val="19"/>
              </w:rPr>
              <w:t xml:space="preserve">PIN</w:t>
            </w:r>
          </w:p>
        </w:tc>
      </w:tr>
      <w:tr>
        <w:trPr>
          <w:tblHeader w:val="false"/>
        </w:trPr>
        <w:tc>
          <w:tcPr>
            <w:tcW w:type="dxa" w:w="355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4"/>
            </w:pPr>
            <w:r>
              <w:rPr>
                <w:rFonts w:ascii="Arial" w:cs="Arial" w:eastAsia="Arial" w:hAnsi="Arial"/>
                <w:sz w:val="19"/>
                <w:szCs w:val="19"/>
              </w:rPr>
              <w:t xml:space="preserve">National Anti-Corruption Commission Act 2022 (Cth)</w:t>
            </w:r>
          </w:p>
        </w:tc>
        <w:tc>
          <w:tcPr>
            <w:tcW w:type="dxa" w:w="401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4"/>
            </w:pPr>
            <w:r>
              <w:rPr>
                <w:rFonts w:ascii="Arial" w:cs="Arial" w:eastAsia="Arial" w:hAnsi="Arial"/>
                <w:sz w:val="19"/>
                <w:szCs w:val="19"/>
              </w:rPr>
              <w:t xml:space="preserve">Corruption referral</w:t>
            </w:r>
          </w:p>
        </w:tc>
        <w:tc>
          <w:tcPr>
            <w:tcW w:type="dxa" w:w="18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4"/>
            </w:pPr>
            <w:r>
              <w:rPr>
                <w:rFonts w:ascii="Arial" w:cs="Arial" w:eastAsia="Arial" w:hAnsi="Arial"/>
                <w:sz w:val="19"/>
                <w:szCs w:val="19"/>
              </w:rPr>
              <w:t xml:space="preserve">PIN</w:t>
            </w:r>
          </w:p>
        </w:tc>
      </w:tr>
    </w:tbl>
    <w:p>
      <w:pPr>
        <w:pStyle w:val="Heading1"/>
      </w:pPr>
      <w:r>
        <w:t xml:space="preserve">13.  Caveats and verification</w:t>
      </w:r>
    </w:p>
    <w:p>
      <w:pPr>
        <w:spacing w:after="150" w:line="276"/>
      </w:pPr>
      <w:r>
        <w:rPr>
          <w:rFonts w:ascii="Arial" w:cs="Arial" w:eastAsia="Arial" w:hAnsi="Arial"/>
        </w:rPr>
        <w:t xml:space="preserve">Pin every [PIN] authority (neutral citation, paragraph, bench) before any use. Confirm the applicable limitation period and accrual date for the misfeasance claim and diarise it. Confirm the Tribunal’s summons / production power and the route to discharge or qualify the 26 July 2024 non-disclosure orders. Corroborate the interception admission beyond its present double-hearsay status before deploying it. Keep every step anchored to the verified documentary spine; nothing here concedes any fraud, and the Commission’s case is contested in its entirety.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r>
      <w:rPr>
        <w:rFonts w:ascii="Arial" w:cs="Arial" w:eastAsia="Arial" w:hAnsi="Arial"/>
        <w:sz w:val="18"/>
        <w:szCs w:val="18"/>
      </w:rPr>
      <w:t xml:space="preserve"> of </w:t>
    </w:r>
    <w:r>
      <w:rPr>
        <w:rFonts w:ascii="Arial" w:cs="Arial" w:eastAsia="Arial" w:hAnsi="Arial"/>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Arial" w:cs="Arial" w:eastAsia="Arial" w:hAnsi="Arial"/>
        <w:i/>
        <w:iCs/>
        <w:color w:val="AA0000"/>
        <w:sz w:val="15"/>
        <w:szCs w:val="15"/>
      </w:rPr>
      <w:t xml:space="preserve">PRIVILEGED &amp; CONFIDENTIAL — DRAFT — verify all [PIN] citations before use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60" w:hanging="340"/>
      </w:pPr>
    </w:lvl>
  </w:abstractNum>
  <w:abstractNum w:abstractNumId="3" w15:restartNumberingAfterBreak="0">
    <w:multiLevelType w:val="hybridMultilevel"/>
    <w:lvl w:ilvl="0" w15:tentative="1">
      <w:start w:val="1"/>
      <w:numFmt w:val="bullet"/>
      <w:lvlText w:val="•"/>
      <w:lvlJc w:val="left"/>
      <w:pPr>
        <w:ind w:left="52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3864"/>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E4B7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2026-06-14T05:52:52.721Z</dcterms:created>
  <dcterms:modified xsi:type="dcterms:W3CDTF">2026-06-14T05:52:52.722Z</dcterms:modified>
</cp:coreProperties>
</file>

<file path=docProps/custom.xml><?xml version="1.0" encoding="utf-8"?>
<Properties xmlns="http://schemas.openxmlformats.org/officeDocument/2006/custom-properties" xmlns:vt="http://schemas.openxmlformats.org/officeDocument/2006/docPropsVTypes"/>
</file>