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FEDERAL COURT OF AUSTRALIA</w:t>
      </w:r>
    </w:p>
    <w:p>
      <w:pPr>
        <w:spacing w:after="40"/>
        <w:jc w:val="center"/>
      </w:pPr>
      <w:r>
        <w:t xml:space="preserve">Western Australia District Registry  ·  General Division</w:t>
      </w:r>
    </w:p>
    <w:p>
      <w:pPr>
        <w:spacing w:after="120"/>
        <w:jc w:val="center"/>
      </w:pPr>
      <w:r>
        <w:t xml:space="preserve">Administrative &amp; Constitutional Law and Human Rights National Practice Area</w:t>
      </w:r>
    </w:p>
    <w:p>
      <w:pPr>
        <w:spacing w:after="160"/>
        <w:jc w:val="center"/>
      </w:pPr>
      <w:r>
        <w:t xml:space="preserve">No.            of 2026</w:t>
      </w:r>
    </w:p>
    <w:p>
      <w:pPr>
        <w:spacing w:after="40"/>
      </w:pPr>
      <w:r>
        <w:rPr>
          <w:b/>
          <w:bCs/>
        </w:rPr>
        <w:t xml:space="preserve">BETWEEN:</w:t>
      </w:r>
    </w:p>
    <w:p>
      <w:pPr>
        <w:spacing w:after="0"/>
      </w:pPr>
      <w:r>
        <w:t xml:space="preserve">SIMON REID</w:t>
      </w:r>
    </w:p>
    <w:p>
      <w:pPr>
        <w:spacing w:after="60"/>
        <w:jc w:val="right"/>
      </w:pPr>
      <w:r>
        <w:rPr>
          <w:i/>
          <w:iCs/>
        </w:rPr>
        <w:t xml:space="preserve">First Applicant</w:t>
      </w:r>
    </w:p>
    <w:p>
      <w:pPr>
        <w:spacing w:after="0"/>
      </w:pPr>
      <w:r>
        <w:t xml:space="preserve">VIDA REID</w:t>
      </w:r>
    </w:p>
    <w:p>
      <w:pPr>
        <w:spacing w:after="60"/>
        <w:jc w:val="right"/>
      </w:pPr>
      <w:r>
        <w:rPr>
          <w:i/>
          <w:iCs/>
        </w:rPr>
        <w:t xml:space="preserve">Second Applicant</w:t>
      </w:r>
    </w:p>
    <w:p>
      <w:pPr>
        <w:spacing w:after="0"/>
      </w:pPr>
      <w:r>
        <w:t xml:space="preserve">FORWARD FOCUSED GROUP PTY LTD</w:t>
      </w:r>
    </w:p>
    <w:p>
      <w:pPr>
        <w:spacing w:after="120"/>
        <w:jc w:val="right"/>
      </w:pPr>
      <w:r>
        <w:rPr>
          <w:i/>
          <w:iCs/>
        </w:rPr>
        <w:t xml:space="preserve">Third Applicant</w:t>
      </w:r>
    </w:p>
    <w:p>
      <w:pPr>
        <w:spacing w:after="40"/>
      </w:pPr>
      <w:r>
        <w:rPr>
          <w:b/>
          <w:bCs/>
        </w:rPr>
        <w:t xml:space="preserve">AND:</w:t>
      </w:r>
    </w:p>
    <w:p>
      <w:pPr>
        <w:spacing w:after="0"/>
      </w:pPr>
      <w:r>
        <w:t xml:space="preserve">CHIEF EXECUTIVE OFFICER, NATIONAL DISABILITY INSURANCE AGENCY</w:t>
      </w:r>
    </w:p>
    <w:p>
      <w:pPr>
        <w:spacing w:after="60"/>
        <w:jc w:val="right"/>
      </w:pPr>
      <w:r>
        <w:rPr>
          <w:i/>
          <w:iCs/>
        </w:rPr>
        <w:t xml:space="preserve">First Respondent</w:t>
      </w:r>
    </w:p>
    <w:p>
      <w:pPr>
        <w:spacing w:after="0"/>
      </w:pPr>
      <w:r>
        <w:t xml:space="preserve">NATIONAL DISABILITY INSURANCE AGENCY</w:t>
      </w:r>
    </w:p>
    <w:p>
      <w:pPr>
        <w:spacing w:after="60"/>
        <w:jc w:val="right"/>
      </w:pPr>
      <w:r>
        <w:rPr>
          <w:i/>
          <w:iCs/>
        </w:rPr>
        <w:t xml:space="preserve">Second Respondent</w:t>
      </w:r>
    </w:p>
    <w:p>
      <w:pPr>
        <w:spacing w:after="160"/>
      </w:pPr>
      <w:r>
        <w:t xml:space="preserve">(and, on the delay / mandamus strand only, the ADMINISTRATIVE REVIEW TRIBUNAL — respondent identity to be settled: see Part G)</w:t>
      </w:r>
    </w:p>
    <w:p>
      <w:pPr>
        <w:spacing w:after="20"/>
        <w:jc w:val="center"/>
      </w:pPr>
      <w:r>
        <w:rPr>
          <w:b/>
          <w:bCs/>
        </w:rPr>
        <w:t xml:space="preserve">ORIGINATING APPLICATION FOR JUDICIAL REVIEW</w:t>
      </w:r>
    </w:p>
    <w:p>
      <w:pPr>
        <w:spacing w:after="160"/>
        <w:jc w:val="center"/>
      </w:pPr>
      <w:r>
        <w:rPr>
          <w:i/>
          <w:iCs/>
        </w:rPr>
        <w:t xml:space="preserve">Updated working draft (v2) — heads of relief, grounds and the documentary spine, to brief counsel</w:t>
      </w:r>
    </w:p>
    <w:p>
      <w:pPr>
        <w:spacing w:after="120" w:line="276"/>
      </w:pPr>
      <w:r>
        <w:rPr>
          <w:b/>
          <w:bCs/>
        </w:rPr>
        <w:t xml:space="preserve">Status and caveat. </w:t>
      </w:r>
      <w:r>
        <w:t xml:space="preserve">This is a working draft prepared to brief counsel following the 14 June 2026 evidence sweep; it is not a settled pleading and is not for filing. It updates the 14 June 2026 skeleton by building the documentary spine (Part D) on primary NDIA records now located, and by adding the continuing-conduct answer to the limitation point (Part E) and the registry-verified delay chronology (Part F). Square-bracketed items are placeholders. Authorities are tagged </w:t>
      </w:r>
      <w:r>
        <w:rPr>
          <w:b/>
          <w:bCs/>
          <w:color w:val="1F7A1F"/>
          <w:sz w:val="16"/>
          <w:szCs w:val="16"/>
        </w:rPr>
        <w:t xml:space="preserve">[VERIFIED]</w:t>
      </w:r>
      <w:r>
        <w:t xml:space="preserve"> (confirmed this pass) or </w:t>
      </w:r>
      <w:r>
        <w:rPr>
          <w:b/>
          <w:bCs/>
          <w:color w:val="B00000"/>
          <w:sz w:val="16"/>
          <w:szCs w:val="16"/>
        </w:rPr>
        <w:t xml:space="preserve">[PIN]</w:t>
      </w:r>
      <w:r>
        <w:t xml:space="preserve"> (proposition confirmed; neutral citation / paragraph / bench to be pulled from the primary report before filing), consistent with the standing rule against unverified citations. </w:t>
      </w:r>
      <w:r>
        <w:rPr>
          <w:b/>
          <w:bCs/>
        </w:rPr>
        <w:t xml:space="preserve">Nothing in this document concedes any fraud or wrongdoing by any applicant or associated entity; the Commission’s case, and any allegation against the applicants, is contested in its entirety.</w:t>
      </w:r>
    </w:p>
    <w:p>
      <w:pPr>
        <w:pStyle w:val="Heading1"/>
      </w:pPr>
      <w:r>
        <w:t xml:space="preserve">Part A — Jurisdiction invoked</w:t>
      </w:r>
    </w:p>
    <w:p>
      <w:pPr>
        <w:pStyle w:val="ListParagraph"/>
        <w:numPr>
          <w:ilvl w:val="0"/>
          <w:numId w:val="2"/>
        </w:numPr>
        <w:spacing w:after="100" w:line="276"/>
      </w:pPr>
      <w:r>
        <w:t xml:space="preserve">The applicants invoke the original jurisdiction of the Court under </w:t>
      </w:r>
      <w:r>
        <w:rPr>
          <w:b/>
          <w:bCs/>
        </w:rPr>
        <w:t xml:space="preserve">s 39B(1) and s 39B(1A)(c) of the Judiciary Act 1903 (Cth)</w:t>
      </w:r>
      <w:r>
        <w:rPr>
          <w:b/>
          <w:bCs/>
          <w:color w:val="B00000"/>
          <w:sz w:val="16"/>
          <w:szCs w:val="16"/>
        </w:rPr>
        <w:t xml:space="preserve"> [PIN]</w:t>
      </w:r>
      <w:r>
        <w:t xml:space="preserve"> (mandamus, prohibition or an injunction against an officer of the Commonwealth, and matters arising under a law of the Parliament), and </w:t>
      </w:r>
      <w:r>
        <w:rPr>
          <w:b/>
          <w:bCs/>
        </w:rPr>
        <w:t xml:space="preserve">s 23 of the Federal Court of Australia Act 1976 (Cth)</w:t>
      </w:r>
      <w:r>
        <w:t xml:space="preserve">.</w:t>
      </w:r>
    </w:p>
    <w:p>
      <w:pPr>
        <w:pStyle w:val="ListParagraph"/>
        <w:numPr>
          <w:ilvl w:val="0"/>
          <w:numId w:val="2"/>
        </w:numPr>
        <w:spacing w:after="100" w:line="276"/>
      </w:pPr>
      <w:r>
        <w:t xml:space="preserve">In the alternative, and only to the extent the impugned acts are decisions of an administrative character made under an enactment, review is sought under the </w:t>
      </w:r>
      <w:r>
        <w:rPr>
          <w:b/>
          <w:bCs/>
        </w:rPr>
        <w:t xml:space="preserve">Administrative Decisions (Judicial Review) Act 1977 (Cth)</w:t>
      </w:r>
      <w:r>
        <w:rPr>
          <w:b/>
          <w:bCs/>
          <w:color w:val="B00000"/>
          <w:sz w:val="16"/>
          <w:szCs w:val="16"/>
        </w:rPr>
        <w:t xml:space="preserve"> [PIN]</w:t>
      </w:r>
      <w:r>
        <w:t xml:space="preserve">. The “under an enactment” question must be resolved; </w:t>
      </w:r>
      <w:r>
        <w:rPr>
          <w:i/>
          <w:iCs/>
        </w:rPr>
        <w:t xml:space="preserve">s 39B is the safer anchor</w:t>
      </w:r>
      <w:r>
        <w:t xml:space="preserve"> and is to be led.</w:t>
      </w:r>
    </w:p>
    <w:p>
      <w:pPr>
        <w:pStyle w:val="Heading1"/>
      </w:pPr>
      <w:r>
        <w:t xml:space="preserve">Part B — Relief sought</w:t>
      </w:r>
    </w:p>
    <w:p>
      <w:pPr>
        <w:pStyle w:val="Heading2"/>
      </w:pPr>
      <w:r>
        <w:t xml:space="preserve">Against the NDIA respondents</w:t>
      </w:r>
    </w:p>
    <w:p>
      <w:pPr>
        <w:pStyle w:val="ListParagraph"/>
        <w:numPr>
          <w:ilvl w:val="0"/>
          <w:numId w:val="2"/>
        </w:numPr>
        <w:spacing w:after="100" w:line="276"/>
      </w:pPr>
      <w:r>
        <w:rPr>
          <w:b/>
          <w:bCs/>
        </w:rPr>
        <w:t xml:space="preserve">Declaration (improper purpose — payments). </w:t>
      </w:r>
      <w:r>
        <w:t xml:space="preserve">A declaration that the decision or conduct to procure the freezing, locking or cessation of payments to the Third Applicant was engaged in for a purpose other than a purpose for which the relevant power was conferred, and was beyond power.</w:t>
      </w:r>
    </w:p>
    <w:p>
      <w:pPr>
        <w:pStyle w:val="ListParagraph"/>
        <w:numPr>
          <w:ilvl w:val="0"/>
          <w:numId w:val="2"/>
        </w:numPr>
        <w:spacing w:after="100" w:line="276"/>
      </w:pPr>
      <w:r>
        <w:rPr>
          <w:b/>
          <w:bCs/>
        </w:rPr>
        <w:t xml:space="preserve">Declaration (improper purpose — reallocation). </w:t>
      </w:r>
      <w:r>
        <w:t xml:space="preserve">A declaration that the conduct of reallocating the Third Applicant’s participants to competing providers (including by the “coordinated provider exit” and the identification of Diversitas WA Pty Ltd) was engaged in for an improper purpose and/or beyond power.</w:t>
      </w:r>
    </w:p>
    <w:p>
      <w:pPr>
        <w:pStyle w:val="ListParagraph"/>
        <w:numPr>
          <w:ilvl w:val="0"/>
          <w:numId w:val="2"/>
        </w:numPr>
        <w:spacing w:after="100" w:line="276"/>
      </w:pPr>
      <w:r>
        <w:rPr>
          <w:b/>
          <w:bCs/>
        </w:rPr>
        <w:t xml:space="preserve">Certiorari. </w:t>
      </w:r>
      <w:r>
        <w:t xml:space="preserve">An order in the nature of certiorari quashing each reviewable decision to be identified, to the extent available.</w:t>
      </w:r>
    </w:p>
    <w:p>
      <w:pPr>
        <w:pStyle w:val="ListParagraph"/>
        <w:numPr>
          <w:ilvl w:val="0"/>
          <w:numId w:val="2"/>
        </w:numPr>
        <w:spacing w:after="100" w:line="276"/>
      </w:pPr>
      <w:r>
        <w:rPr>
          <w:b/>
          <w:bCs/>
        </w:rPr>
        <w:t xml:space="preserve">Injunction / correction of records. </w:t>
      </w:r>
      <w:r>
        <w:t xml:space="preserve">An injunction restraining the respondents from relying upon, and requiring correction of records derived from, the impugned conduct, as appropriate.</w:t>
      </w:r>
    </w:p>
    <w:p>
      <w:pPr>
        <w:pStyle w:val="ListParagraph"/>
        <w:numPr>
          <w:ilvl w:val="0"/>
          <w:numId w:val="2"/>
        </w:numPr>
        <w:spacing w:after="100" w:line="276"/>
      </w:pPr>
      <w:r>
        <w:rPr>
          <w:b/>
          <w:bCs/>
        </w:rPr>
        <w:t xml:space="preserve">Preliminary discovery / production. </w:t>
      </w:r>
      <w:r>
        <w:t xml:space="preserve">Orders for preliminary discovery and/or production in aid of relief (</w:t>
      </w:r>
      <w:r>
        <w:rPr>
          <w:b/>
          <w:bCs/>
        </w:rPr>
        <w:t xml:space="preserve">Federal Court Rules 2011 (Cth), rr 7.22–7.23</w:t>
      </w:r>
      <w:r>
        <w:rPr>
          <w:b/>
          <w:bCs/>
          <w:color w:val="B00000"/>
          <w:sz w:val="16"/>
          <w:szCs w:val="16"/>
        </w:rPr>
        <w:t xml:space="preserve"> [PIN]</w:t>
      </w:r>
      <w:r>
        <w:t xml:space="preserve">) — targeting the reallocation records, the Provider Exit file, Mr Halls’s correspondence with Diversitas/Nurse Assist, and the Tactical Intelligence Report.</w:t>
      </w:r>
    </w:p>
    <w:p>
      <w:pPr>
        <w:pStyle w:val="Heading2"/>
      </w:pPr>
      <w:r>
        <w:t xml:space="preserve">Alternative / related strand — delay (may be a separate proceeding: see Part G)</w:t>
      </w:r>
    </w:p>
    <w:p>
      <w:pPr>
        <w:pStyle w:val="ListParagraph"/>
        <w:numPr>
          <w:ilvl w:val="0"/>
          <w:numId w:val="2"/>
        </w:numPr>
        <w:spacing w:after="100" w:line="276"/>
      </w:pPr>
      <w:r>
        <w:rPr>
          <w:b/>
          <w:bCs/>
        </w:rPr>
        <w:t xml:space="preserve">Mandamus. </w:t>
      </w:r>
      <w:r>
        <w:t xml:space="preserve">An order in the nature of mandamus directed to the Administrative Review Tribunal requiring it to determine the applicants’ applications (including the severance application) and to proceed to hearing within a time fixed by the Court.</w:t>
      </w:r>
    </w:p>
    <w:p>
      <w:pPr>
        <w:pStyle w:val="ListParagraph"/>
        <w:numPr>
          <w:ilvl w:val="0"/>
          <w:numId w:val="2"/>
        </w:numPr>
        <w:spacing w:after="100" w:line="276"/>
      </w:pPr>
      <w:r>
        <w:rPr>
          <w:b/>
          <w:bCs/>
        </w:rPr>
        <w:t xml:space="preserve">Costs and further relief</w:t>
      </w:r>
      <w:r>
        <w:t xml:space="preserve">; and such further or other relief as the Court considers appropriate.</w:t>
      </w:r>
    </w:p>
    <w:p>
      <w:pPr>
        <w:pStyle w:val="Heading1"/>
      </w:pPr>
      <w:r>
        <w:t xml:space="preserve">Part C — Grounds</w:t>
      </w:r>
    </w:p>
    <w:p>
      <w:pPr>
        <w:pStyle w:val="ListParagraph"/>
        <w:numPr>
          <w:ilvl w:val="0"/>
          <w:numId w:val="2"/>
        </w:numPr>
        <w:spacing w:after="100" w:line="276"/>
      </w:pPr>
      <w:r>
        <w:rPr>
          <w:b/>
          <w:bCs/>
        </w:rPr>
        <w:t xml:space="preserve">Improper purpose. </w:t>
      </w:r>
      <w:r>
        <w:t xml:space="preserve">The relevant powers were exercised for a purpose other than that for which they were conferred — to dismantle the Third Applicant’s business and to benefit competing providers — contrary to </w:t>
      </w:r>
      <w:r>
        <w:rPr>
          <w:i/>
          <w:iCs/>
        </w:rPr>
        <w:t xml:space="preserve">Padfield v Minister of Agriculture, Fisheries and Food </w:t>
      </w:r>
      <w:r>
        <w:t xml:space="preserve">[1968] AC 997</w:t>
      </w:r>
      <w:r>
        <w:rPr>
          <w:b/>
          <w:bCs/>
          <w:color w:val="1F7A1F"/>
          <w:sz w:val="16"/>
          <w:szCs w:val="16"/>
        </w:rPr>
        <w:t xml:space="preserve"> [VERIFIED]</w:t>
      </w:r>
      <w:r>
        <w:t xml:space="preserve">; </w:t>
      </w:r>
      <w:r>
        <w:rPr>
          <w:i/>
          <w:iCs/>
        </w:rPr>
        <w:t xml:space="preserve">R v Toohey; Ex parte Northern Land Council </w:t>
      </w:r>
      <w:r>
        <w:t xml:space="preserve">(1981) 151 CLR 170</w:t>
      </w:r>
      <w:r>
        <w:rPr>
          <w:b/>
          <w:bCs/>
          <w:color w:val="1F7A1F"/>
          <w:sz w:val="16"/>
          <w:szCs w:val="16"/>
        </w:rPr>
        <w:t xml:space="preserve"> [VERIFIED]</w:t>
      </w:r>
      <w:r>
        <w:t xml:space="preserve">; and </w:t>
      </w:r>
      <w:r>
        <w:rPr>
          <w:i/>
          <w:iCs/>
        </w:rPr>
        <w:t xml:space="preserve">Thompson v Randwick Corporation </w:t>
      </w:r>
      <w:r>
        <w:t xml:space="preserve">(1950) 81 CLR 87</w:t>
      </w:r>
      <w:r>
        <w:rPr>
          <w:b/>
          <w:bCs/>
          <w:color w:val="1F7A1F"/>
          <w:sz w:val="16"/>
          <w:szCs w:val="16"/>
        </w:rPr>
        <w:t xml:space="preserve"> [VERIFIED]</w:t>
      </w:r>
      <w:r>
        <w:t xml:space="preserve"> (the “substantial purpose” test). The purpose is established on the NDIA’s own records pleaded in Part D.</w:t>
      </w:r>
    </w:p>
    <w:p>
      <w:pPr>
        <w:pStyle w:val="ListParagraph"/>
        <w:numPr>
          <w:ilvl w:val="0"/>
          <w:numId w:val="2"/>
        </w:numPr>
        <w:spacing w:after="100" w:line="276"/>
      </w:pPr>
      <w:r>
        <w:rPr>
          <w:b/>
          <w:bCs/>
        </w:rPr>
        <w:t xml:space="preserve">Want of authority / beyond power. </w:t>
      </w:r>
      <w:r>
        <w:t xml:space="preserve">The impugned steps (in particular any direction to lock, freeze or cease payments, and the reallocation of participants) were not authorised. This is supported by the internal contradiction between Mr Halls’s conduct and Ms Lundgren’s reported statement that the Agency had not directed Assist Plan Managers to cease all payments (Part D).</w:t>
      </w:r>
    </w:p>
    <w:p>
      <w:pPr>
        <w:pStyle w:val="ListParagraph"/>
        <w:numPr>
          <w:ilvl w:val="0"/>
          <w:numId w:val="2"/>
        </w:numPr>
        <w:spacing w:after="100" w:line="276"/>
      </w:pPr>
      <w:r>
        <w:rPr>
          <w:b/>
          <w:bCs/>
        </w:rPr>
        <w:t xml:space="preserve">Legal unreasonableness (alternative). </w:t>
      </w:r>
      <w:r>
        <w:t xml:space="preserve">The conduct was legally unreasonable in the sense explained in </w:t>
      </w:r>
      <w:r>
        <w:rPr>
          <w:i/>
          <w:iCs/>
        </w:rPr>
        <w:t xml:space="preserve">Minister for Immigration and Citizenship v Li </w:t>
      </w:r>
      <w:r>
        <w:t xml:space="preserve">(2013) 249 CLR 332</w:t>
      </w:r>
      <w:r>
        <w:rPr>
          <w:b/>
          <w:bCs/>
          <w:color w:val="1F7A1F"/>
          <w:sz w:val="16"/>
          <w:szCs w:val="16"/>
        </w:rPr>
        <w:t xml:space="preserve"> [VERIFIED]</w:t>
      </w:r>
      <w:r>
        <w:t xml:space="preserve">.</w:t>
      </w:r>
    </w:p>
    <w:p>
      <w:pPr>
        <w:pStyle w:val="ListParagraph"/>
        <w:numPr>
          <w:ilvl w:val="0"/>
          <w:numId w:val="2"/>
        </w:numPr>
        <w:spacing w:after="100" w:line="276"/>
      </w:pPr>
      <w:r>
        <w:rPr>
          <w:b/>
          <w:bCs/>
        </w:rPr>
        <w:t xml:space="preserve">ADJR grounds (contingent). </w:t>
      </w:r>
      <w:r>
        <w:t xml:space="preserve">If and to the extent the impugned acts are decisions under an enactment, the grounds in s 5 of the ADJR Act, including improper purpose (s 5(2)(c)) and taking account of irrelevant considerations</w:t>
      </w:r>
      <w:r>
        <w:rPr>
          <w:b/>
          <w:bCs/>
          <w:color w:val="B00000"/>
          <w:sz w:val="16"/>
          <w:szCs w:val="16"/>
        </w:rPr>
        <w:t xml:space="preserve"> [PIN]</w:t>
      </w:r>
      <w:r>
        <w:t xml:space="preserve">.</w:t>
      </w:r>
    </w:p>
    <w:p>
      <w:pPr>
        <w:pStyle w:val="ListParagraph"/>
        <w:numPr>
          <w:ilvl w:val="0"/>
          <w:numId w:val="2"/>
        </w:numPr>
        <w:spacing w:after="100" w:line="276"/>
      </w:pPr>
      <w:r>
        <w:rPr>
          <w:b/>
          <w:bCs/>
        </w:rPr>
        <w:t xml:space="preserve">Constructive failure to exercise jurisdiction (delay strand). </w:t>
      </w:r>
      <w:r>
        <w:t xml:space="preserve">The Tribunal has failed to determine the applications within a reasonable time, amounting to a constructive failure to exercise its jurisdiction — </w:t>
      </w:r>
      <w:r>
        <w:rPr>
          <w:i/>
          <w:iCs/>
        </w:rPr>
        <w:t xml:space="preserve">Plaintiff S297/2013 v Minister for Immigration and Border Protection </w:t>
      </w:r>
      <w:r>
        <w:t xml:space="preserve">[2014] HCA 24; (2014) 255 CLR 179</w:t>
      </w:r>
      <w:r>
        <w:rPr>
          <w:b/>
          <w:bCs/>
          <w:color w:val="B00000"/>
          <w:sz w:val="16"/>
          <w:szCs w:val="16"/>
        </w:rPr>
        <w:t xml:space="preserve"> [PIN]</w:t>
      </w:r>
      <w:r>
        <w:t xml:space="preserve">; </w:t>
      </w:r>
      <w:r>
        <w:rPr>
          <w:i/>
          <w:iCs/>
        </w:rPr>
        <w:t xml:space="preserve">Thornton v Repatriation Commission </w:t>
      </w:r>
      <w:r>
        <w:t xml:space="preserve">(1981) 52 FLR 285</w:t>
      </w:r>
      <w:r>
        <w:rPr>
          <w:b/>
          <w:bCs/>
          <w:color w:val="B00000"/>
          <w:sz w:val="16"/>
          <w:szCs w:val="16"/>
        </w:rPr>
        <w:t xml:space="preserve"> [PIN]</w:t>
      </w:r>
      <w:r>
        <w:t xml:space="preserve">.</w:t>
      </w:r>
    </w:p>
    <w:p>
      <w:pPr>
        <w:pStyle w:val="Heading1"/>
      </w:pPr>
      <w:r>
        <w:t xml:space="preserve">Part D — Concise statement of material facts (the documentary spine)</w:t>
      </w:r>
    </w:p>
    <w:p>
      <w:pPr>
        <w:spacing w:after="120" w:line="276"/>
      </w:pPr>
      <w:r>
        <w:rPr>
          <w:i/>
          <w:iCs/>
        </w:rPr>
        <w:t xml:space="preserve">Each paragraph below is anchored to a primary record in the Evidence Matrix (v3, 14 June 2026); the cross-references (EM-xx) identify the exhibit. Quotations are verbatim from the located primary.</w:t>
      </w:r>
    </w:p>
    <w:p>
      <w:pPr>
        <w:pStyle w:val="ListParagraph"/>
        <w:numPr>
          <w:ilvl w:val="0"/>
          <w:numId w:val="3"/>
        </w:numPr>
        <w:spacing w:after="100" w:line="276"/>
      </w:pPr>
      <w:r>
        <w:rPr>
          <w:b/>
          <w:bCs/>
        </w:rPr>
        <w:t xml:space="preserve">The banning orders. </w:t>
      </w:r>
      <w:r>
        <w:t xml:space="preserve">On 21 December 2022 the NDIS Quality and Safeguards Commission made banning orders against the First, Second and Third Applicants. The applicants contest the orders in the Administrative Review Tribunal (matters 2023/3363, 2023/3361 and 2023/4494).</w:t>
      </w:r>
    </w:p>
    <w:p>
      <w:pPr>
        <w:pStyle w:val="ListParagraph"/>
        <w:numPr>
          <w:ilvl w:val="0"/>
          <w:numId w:val="3"/>
        </w:numPr>
        <w:spacing w:after="100" w:line="276"/>
      </w:pPr>
      <w:r>
        <w:rPr>
          <w:b/>
          <w:bCs/>
        </w:rPr>
        <w:t xml:space="preserve">The coordinated provider exit (NDIA primary). </w:t>
      </w:r>
      <w:r>
        <w:t xml:space="preserve">On 29 September 2022 an NDIA officer, Mr Nathan Halls (Assistant Director, Participant Solutions, WA Operations), wrote to a third party (Yaran Property Group): </w:t>
      </w:r>
      <w:r>
        <w:rPr>
          <w:i/>
          <w:iCs/>
        </w:rPr>
        <w:t xml:space="preserve">“As part this action I am leading a coordinated provider exit on behalf of the NDIA”</w:t>
      </w:r>
      <w:r>
        <w:t xml:space="preserve">, directed at a “particular provider of concern” having participants in properties controlled by that third party. The email is an NDIA record; it was forwarded to the Second Applicant on 7 October 2022 and to the applicants’ then solicitors on 31 October 2022 (EM-029).</w:t>
      </w:r>
    </w:p>
    <w:p>
      <w:pPr>
        <w:pStyle w:val="ListParagraph"/>
        <w:numPr>
          <w:ilvl w:val="0"/>
          <w:numId w:val="3"/>
        </w:numPr>
        <w:spacing w:after="100" w:line="276"/>
      </w:pPr>
      <w:r>
        <w:rPr>
          <w:b/>
          <w:bCs/>
        </w:rPr>
        <w:t xml:space="preserve">The reallocation to a competitor (NDIA primary). </w:t>
      </w:r>
      <w:r>
        <w:t xml:space="preserve">On 17 October 2022 an NDIA delegate, Mr Deepak Bhandari (Delegate, Participant Solutions, WA Operations), wrote to a participant: </w:t>
      </w:r>
      <w:r>
        <w:rPr>
          <w:i/>
          <w:iCs/>
        </w:rPr>
        <w:t xml:space="preserve">“FORWARD FOCUSED GROUP (FFG)… is not meeting the NDIS compliance therefore the services of support coordination registration role from them has been cancelled”</w:t>
      </w:r>
      <w:r>
        <w:t xml:space="preserve">; and </w:t>
      </w:r>
      <w:r>
        <w:rPr>
          <w:i/>
          <w:iCs/>
        </w:rPr>
        <w:t xml:space="preserve">“I have identified Diversitas WA Pty Ltd (registration number 4050073381)… Sukhi or Adrian from Diversitas WA Pty Ltd is calling to you.”</w:t>
      </w:r>
      <w:r>
        <w:t xml:space="preserve"> Diversitas WA is a competing provider (EM-030).</w:t>
      </w:r>
    </w:p>
    <w:p>
      <w:pPr>
        <w:pStyle w:val="ListParagraph"/>
        <w:numPr>
          <w:ilvl w:val="0"/>
          <w:numId w:val="3"/>
        </w:numPr>
        <w:spacing w:after="100" w:line="276"/>
      </w:pPr>
      <w:r>
        <w:rPr>
          <w:b/>
          <w:bCs/>
        </w:rPr>
        <w:t xml:space="preserve">The inducements, on notice to senior NDIA management (NDIA-acknowledged, first-person). </w:t>
      </w:r>
      <w:r>
        <w:t xml:space="preserve">On 9 October 2022 a participant, Mr Jonathan Shapiera, wrote to the NDIA A/State Manager (WA), Ms Barbara Lundgren — copied to the applicants — describing Mr Halls’s conduct as </w:t>
      </w:r>
      <w:r>
        <w:rPr>
          <w:i/>
          <w:iCs/>
        </w:rPr>
        <w:t xml:space="preserve">“an operation that can only be described as an abuse of power”</w:t>
      </w:r>
      <w:r>
        <w:t xml:space="preserve">, stating that </w:t>
      </w:r>
      <w:r>
        <w:rPr>
          <w:i/>
          <w:iCs/>
        </w:rPr>
        <w:t xml:space="preserve">“Mr. Nathan Halls offered to increase my funding if I co-operate and move from FFG and The Hive to a company of his choice… he will also approve my son’s NDIS access”</w:t>
      </w:r>
      <w:r>
        <w:t xml:space="preserve">, and that his plan had </w:t>
      </w:r>
      <w:r>
        <w:rPr>
          <w:i/>
          <w:iCs/>
        </w:rPr>
        <w:t xml:space="preserve">“increased by some $100,000 per year for the simplicity of moving house… is this considered as SHUT UP MONEY?”</w:t>
      </w:r>
      <w:r>
        <w:t xml:space="preserve"> Ms Lundgren acknowledged receipt on 11 October 2022. The NDIA was therefore on notice of the allegations in October 2022 (EM-031).</w:t>
      </w:r>
    </w:p>
    <w:p>
      <w:pPr>
        <w:pStyle w:val="ListParagraph"/>
        <w:numPr>
          <w:ilvl w:val="0"/>
          <w:numId w:val="3"/>
        </w:numPr>
        <w:spacing w:after="100" w:line="276"/>
      </w:pPr>
      <w:r>
        <w:rPr>
          <w:b/>
          <w:bCs/>
        </w:rPr>
        <w:t xml:space="preserve">The payment lock (NDIA primary). </w:t>
      </w:r>
      <w:r>
        <w:t xml:space="preserve">In 2022 the NDIA applied a “compliance lock” / payment review to the Third Applicant’s claims (NDIA Payment Review correspondence). The Second Applicant’s plan manager (Ms Karen Ruth, Assist Plan Managers) recorded contemporaneously that participants had “moved to Sukhi Tear at Diversitas WA” (EM-033; EM-034). The applicants will say Ms Lundgren stated the Agency had not directed Assist Plan Managers to cease all payments — the precise wording to be pinned from the same NDIA thread (EM-001).</w:t>
      </w:r>
    </w:p>
    <w:p>
      <w:pPr>
        <w:pStyle w:val="ListParagraph"/>
        <w:numPr>
          <w:ilvl w:val="0"/>
          <w:numId w:val="3"/>
        </w:numPr>
        <w:spacing w:after="100" w:line="276"/>
      </w:pPr>
      <w:r>
        <w:rPr>
          <w:b/>
          <w:bCs/>
        </w:rPr>
        <w:t xml:space="preserve">The Commission’s reliance on NDIA material. </w:t>
      </w:r>
      <w:r>
        <w:t xml:space="preserve">On the Commission’s own brief (“Project Archer” / the Tactical Intelligence Report), the evidence “draws upon statements obtained and provided by the NDIA”, the NDIA “currently has an investigation ongoing”, and the “Provider Exit Protocol has been actioned with the NDIA” (subject to the 26 July 2024 non-disclosure orders — Part G).</w:t>
      </w:r>
    </w:p>
    <w:p>
      <w:pPr>
        <w:pStyle w:val="ListParagraph"/>
        <w:numPr>
          <w:ilvl w:val="0"/>
          <w:numId w:val="3"/>
        </w:numPr>
        <w:spacing w:after="100" w:line="276"/>
      </w:pPr>
      <w:r>
        <w:rPr>
          <w:b/>
          <w:bCs/>
        </w:rPr>
        <w:t xml:space="preserve">AGS posture. </w:t>
      </w:r>
      <w:r>
        <w:t xml:space="preserve">On 11 March 2025 the Australian Government Solicitor told the Tribunal there was “no current criminal investigation pertaining to Mrs Reid or to FFG” and that it “does not act for the NDIA”. The charges against the Second Applicant were discontinued by the CDPP in early 2024 (exact date and basis to be pinned to the CDPP / Magistrates Court record — do not plead a date until pinned).</w:t>
      </w:r>
    </w:p>
    <w:p>
      <w:pPr>
        <w:pStyle w:val="ListParagraph"/>
        <w:numPr>
          <w:ilvl w:val="0"/>
          <w:numId w:val="3"/>
        </w:numPr>
        <w:spacing w:after="100" w:line="276"/>
      </w:pPr>
      <w:r>
        <w:rPr>
          <w:b/>
          <w:bCs/>
        </w:rPr>
        <w:t xml:space="preserve">Continuing conduct. </w:t>
      </w:r>
      <w:r>
        <w:t xml:space="preserve">NDIA conduct toward the applicants’ entities has continued — including a Provider Portal Lock notified to Hybrid Hive Pty Ltd on 5 June 2026 (EM-036) — such that the impugned conduct forms part of a continuing course rather than a single, spent 2022 act.</w:t>
      </w:r>
    </w:p>
    <w:p>
      <w:pPr>
        <w:pStyle w:val="ListParagraph"/>
        <w:numPr>
          <w:ilvl w:val="0"/>
          <w:numId w:val="3"/>
        </w:numPr>
        <w:spacing w:after="100" w:line="276"/>
      </w:pPr>
      <w:r>
        <w:rPr>
          <w:b/>
          <w:bCs/>
        </w:rPr>
        <w:t xml:space="preserve">Delay. </w:t>
      </w:r>
      <w:r>
        <w:t xml:space="preserve">The Third Applicant’s banning order expired on 20 December 2025 before any merits hearing; the applications have been on foot since 2023; and the severance gateway, argued and heard on the papers about 20 March 2026, remains undetermined — the registry confirming it “remains under consideration” on 22 April 2026 and again on 12 May 2026 (EM-035).</w:t>
      </w:r>
    </w:p>
    <w:p>
      <w:pPr>
        <w:pStyle w:val="Heading1"/>
      </w:pPr>
      <w:r>
        <w:t xml:space="preserve">Part E — The continuing-conduct answer to time (the central vulnerability, addressed)</w:t>
      </w:r>
    </w:p>
    <w:p>
      <w:pPr>
        <w:spacing w:after="120" w:line="276"/>
      </w:pPr>
      <w:r>
        <w:t xml:space="preserve">Judicial review of 2022 conduct commenced in 2026 faces a serious discretionary delay bar. The draft does not ignore it; it answers it on three levels, and reserves a fourth:</w:t>
      </w:r>
    </w:p>
    <w:p>
      <w:pPr>
        <w:pStyle w:val="ListParagraph"/>
        <w:numPr>
          <w:ilvl w:val="0"/>
          <w:numId w:val="4"/>
        </w:numPr>
        <w:spacing w:after="100" w:line="276"/>
      </w:pPr>
      <w:r>
        <w:rPr>
          <w:b/>
          <w:bCs/>
        </w:rPr>
        <w:t xml:space="preserve">Continuing course of conduct. </w:t>
      </w:r>
      <w:r>
        <w:t xml:space="preserve">The impugned conduct is not a single 2022 act but a course that continues — the 2022 provider exit and reallocation, the banning orders adopting the NDIA material, NDIA investigators contacting the applicants’ former contacts through 2024, and the Provider Portal Lock on a Reid entity on 5 June 2026 (EM-036). Time runs differently against continuing conduct.</w:t>
      </w:r>
    </w:p>
    <w:p>
      <w:pPr>
        <w:pStyle w:val="ListParagraph"/>
        <w:numPr>
          <w:ilvl w:val="0"/>
          <w:numId w:val="4"/>
        </w:numPr>
        <w:spacing w:after="100" w:line="276"/>
      </w:pPr>
      <w:r>
        <w:rPr>
          <w:b/>
          <w:bCs/>
        </w:rPr>
        <w:t xml:space="preserve">Confine the certiorari to recent, identifiable decisions. </w:t>
      </w:r>
      <w:r>
        <w:t xml:space="preserve">Lead with declaratory relief and with any decision made within time; do not stake the proceeding on quashing spent 2022 acts.</w:t>
      </w:r>
    </w:p>
    <w:p>
      <w:pPr>
        <w:pStyle w:val="ListParagraph"/>
        <w:numPr>
          <w:ilvl w:val="0"/>
          <w:numId w:val="4"/>
        </w:numPr>
        <w:spacing w:after="100" w:line="276"/>
      </w:pPr>
      <w:r>
        <w:rPr>
          <w:b/>
          <w:bCs/>
        </w:rPr>
        <w:t xml:space="preserve">Declarations plus the damages route for the historic conduct. </w:t>
      </w:r>
      <w:r>
        <w:t xml:space="preserve">For the 2022 conduct, rely on declarations and on the misfeasance / damages pathway (next paragraph), where the limitation clock is separate.</w:t>
      </w:r>
    </w:p>
    <w:p>
      <w:pPr>
        <w:pStyle w:val="ListParagraph"/>
        <w:numPr>
          <w:ilvl w:val="0"/>
          <w:numId w:val="4"/>
        </w:numPr>
        <w:spacing w:after="100" w:line="276"/>
      </w:pPr>
      <w:r>
        <w:rPr>
          <w:b/>
          <w:bCs/>
        </w:rPr>
        <w:t xml:space="preserve">Reserve — misfeasance in public office. </w:t>
      </w:r>
      <w:r>
        <w:t xml:space="preserve">A misfeasance claim against the officer(s) and the NDIA (</w:t>
      </w:r>
      <w:r>
        <w:rPr>
          <w:i/>
          <w:iCs/>
        </w:rPr>
        <w:t xml:space="preserve">Northern Territory v Mengel </w:t>
      </w:r>
      <w:r>
        <w:t xml:space="preserve">(1995) 185 CLR 307</w:t>
      </w:r>
      <w:r>
        <w:rPr>
          <w:b/>
          <w:bCs/>
          <w:color w:val="1F7A1F"/>
          <w:sz w:val="16"/>
          <w:szCs w:val="16"/>
        </w:rPr>
        <w:t xml:space="preserve"> [VERIFIED]</w:t>
      </w:r>
      <w:r>
        <w:t xml:space="preserve">; </w:t>
      </w:r>
      <w:r>
        <w:rPr>
          <w:i/>
          <w:iCs/>
        </w:rPr>
        <w:t xml:space="preserve">Sanders v Snell </w:t>
      </w:r>
      <w:r>
        <w:t xml:space="preserve">(1998) 196 CLR 329</w:t>
      </w:r>
      <w:r>
        <w:rPr>
          <w:b/>
          <w:bCs/>
          <w:color w:val="1F7A1F"/>
          <w:sz w:val="16"/>
          <w:szCs w:val="16"/>
        </w:rPr>
        <w:t xml:space="preserve"> [VERIFIED]</w:t>
      </w:r>
      <w:r>
        <w:t xml:space="preserve">) is built now and asserted later, once the knowledge / recklessness element is filled by production. </w:t>
      </w:r>
      <w:r>
        <w:rPr>
          <w:b/>
          <w:bCs/>
        </w:rPr>
        <w:t xml:space="preserve">The limitation position (generally six years from accrual; the conduct dates from 2022) must be confirmed against the applicable State Limitation Act and diarised immediately.</w:t>
      </w:r>
    </w:p>
    <w:p>
      <w:pPr>
        <w:pStyle w:val="Heading1"/>
      </w:pPr>
      <w:r>
        <w:t xml:space="preserve">Part F — The delay / mandamus strand (registry-verified chronology)</w:t>
      </w:r>
    </w:p>
    <w:p>
      <w:pPr>
        <w:spacing w:after="120" w:line="276"/>
      </w:pPr>
      <w:r>
        <w:t xml:space="preserve">Where a tribunal unreasonably fails to perform its duty, the Court may compel it by mandamus under s 39B(1) of the Judiciary Act 1903 (Cth). Members of the Tribunal are amenable as officers of the Commonwealth (</w:t>
      </w:r>
      <w:r>
        <w:rPr>
          <w:i/>
          <w:iCs/>
        </w:rPr>
        <w:t xml:space="preserve">Constitution </w:t>
      </w:r>
      <w:r>
        <w:t xml:space="preserve">s 75(v)</w:t>
      </w:r>
      <w:r>
        <w:rPr>
          <w:b/>
          <w:bCs/>
          <w:color w:val="1F7A1F"/>
          <w:sz w:val="16"/>
          <w:szCs w:val="16"/>
        </w:rPr>
        <w:t xml:space="preserve"> [VERIFIED]</w:t>
      </w:r>
      <w:r>
        <w:t xml:space="preserve">); the constitutional writs are discretionary (</w:t>
      </w:r>
      <w:r>
        <w:rPr>
          <w:i/>
          <w:iCs/>
        </w:rPr>
        <w:t xml:space="preserve">Re Refugee Review Tribunal; Ex parte Aala </w:t>
      </w:r>
      <w:r>
        <w:t xml:space="preserve">(2000) 204 CLR 82</w:t>
      </w:r>
      <w:r>
        <w:rPr>
          <w:b/>
          <w:bCs/>
          <w:color w:val="1F7A1F"/>
          <w:sz w:val="16"/>
          <w:szCs w:val="16"/>
        </w:rPr>
        <w:t xml:space="preserve"> [VERIFIED]</w:t>
      </w:r>
      <w:r>
        <w:t xml:space="preserve">); and the discretionary bars are drawn together in </w:t>
      </w:r>
      <w:r>
        <w:rPr>
          <w:i/>
          <w:iCs/>
        </w:rPr>
        <w:t xml:space="preserve">R v Commonwealth Court of Conciliation and Arbitration; Ex parte Ozone Theatres (Aust) Ltd </w:t>
      </w:r>
      <w:r>
        <w:t xml:space="preserve">(1949) 78 CLR 389</w:t>
      </w:r>
      <w:r>
        <w:rPr>
          <w:b/>
          <w:bCs/>
          <w:color w:val="1F7A1F"/>
          <w:sz w:val="16"/>
          <w:szCs w:val="16"/>
        </w:rPr>
        <w:t xml:space="preserve"> [VERIFIED]</w:t>
      </w:r>
      <w:r>
        <w:t xml:space="preserve">. The chronology, drawn from the registry’s own correspondence,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926"/>
        <w:gridCol w:w="1800"/>
      </w:tblGrid>
      <w:tr>
        <w:trPr>
          <w:tblHeader/>
        </w:trPr>
        <w:tc>
          <w:tcPr>
            <w:tcW w:type="dxa" w:w="13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Date</w:t>
            </w:r>
          </w:p>
        </w:tc>
        <w:tc>
          <w:tcPr>
            <w:tcW w:type="dxa" w:w="592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Event (registry-verified)</w:t>
            </w:r>
          </w:p>
        </w:tc>
        <w:tc>
          <w:tcPr>
            <w:tcW w:type="dxa" w:w="18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Source</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2023</w:t>
            </w:r>
          </w:p>
        </w:tc>
        <w:tc>
          <w:tcPr>
            <w:tcW w:type="dxa" w:w="59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Applications filed; none yet heard on the merits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ART file</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6 Jun 2025</w:t>
            </w:r>
          </w:p>
        </w:tc>
        <w:tc>
          <w:tcPr>
            <w:tcW w:type="dxa" w:w="59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Directions hearing before DP McMillan KC; stay/severance directions</w:t>
            </w:r>
          </w:p>
        </w:tc>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ART directions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15 Aug 2025</w:t>
            </w:r>
          </w:p>
        </w:tc>
        <w:tc>
          <w:tcPr>
            <w:tcW w:type="dxa" w:w="59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Vida Reid files stay-and-severance application per the Tribunal’s direction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Gmail</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8 Sep 2025</w:t>
            </w:r>
          </w:p>
        </w:tc>
        <w:tc>
          <w:tcPr>
            <w:tcW w:type="dxa" w:w="59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Direction issued; caption now reads “Reid / Superior Care Group Pty Ltd” (unexplained entity)</w:t>
            </w:r>
          </w:p>
        </w:tc>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Registry</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Nov–Dec 2025</w:t>
            </w:r>
          </w:p>
        </w:tc>
        <w:tc>
          <w:tcPr>
            <w:tcW w:type="dxa" w:w="59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December 2025 hearing dates (2/4/5 Dec) lapse; DP “briefed in a Commission of Inquiry”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Bird, 4 Dec 2025</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20 Dec 2025</w:t>
            </w:r>
          </w:p>
        </w:tc>
        <w:tc>
          <w:tcPr>
            <w:tcW w:type="dxa" w:w="59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FFG banning order expires — the sanction runs its full term before any hearing</w:t>
            </w:r>
          </w:p>
        </w:tc>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Register; AGS 13 Feb 2026</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6 &amp; 19 Mar 2026</w:t>
            </w:r>
          </w:p>
        </w:tc>
        <w:tc>
          <w:tcPr>
            <w:tcW w:type="dxa" w:w="59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Severance argued (Short Directions Submissions; Addendum Reply); heard on the papers ~20 Mar 2026</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ART file</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19 Mar 2026</w:t>
            </w:r>
          </w:p>
        </w:tc>
        <w:tc>
          <w:tcPr>
            <w:tcW w:type="dxa" w:w="59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20 March hearing vacated; AGS agrees severance be decided on the papers</w:t>
            </w:r>
          </w:p>
        </w:tc>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AGS/Registry</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22 Apr 2026</w:t>
            </w:r>
          </w:p>
        </w:tc>
        <w:tc>
          <w:tcPr>
            <w:tcW w:type="dxa" w:w="59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Registry: severance decision “remains under consideration”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Registry</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12 May 2026</w:t>
            </w:r>
          </w:p>
        </w:tc>
        <w:tc>
          <w:tcPr>
            <w:tcW w:type="dxa" w:w="59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Registry confirms the severance submissions; still no decision</w:t>
            </w:r>
          </w:p>
        </w:tc>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Registry</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19 May 2026</w:t>
            </w:r>
          </w:p>
        </w:tc>
        <w:tc>
          <w:tcPr>
            <w:tcW w:type="dxa" w:w="59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Simon Reid’s s 70 opposition lodged; s 70 “put before Deputy President”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Registry</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14 Jun 2026</w:t>
            </w:r>
          </w:p>
        </w:tc>
        <w:tc>
          <w:tcPr>
            <w:tcW w:type="dxa" w:w="59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Both reserved decisions still outstanding; expedition request prepared</w:t>
            </w:r>
          </w:p>
        </w:tc>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Applicants</w:t>
            </w:r>
          </w:p>
        </w:tc>
      </w:tr>
    </w:tbl>
    <w:p>
      <w:pPr>
        <w:spacing w:after="120" w:line="276"/>
      </w:pPr>
      <w:r>
        <w:t xml:space="preserve">That matrix — a 2023 matter, a gateway undecided since March 2026, and a sanction that expired unheard — is the record on which “unreasonable” delay is argued (</w:t>
      </w:r>
      <w:r>
        <w:rPr>
          <w:i/>
          <w:iCs/>
        </w:rPr>
        <w:t xml:space="preserve">Thornton</w:t>
      </w:r>
      <w:r>
        <w:rPr>
          <w:b/>
          <w:bCs/>
          <w:color w:val="B00000"/>
          <w:sz w:val="16"/>
          <w:szCs w:val="16"/>
        </w:rPr>
        <w:t xml:space="preserve"> [PIN]</w:t>
      </w:r>
      <w:r>
        <w:t xml:space="preserve">; </w:t>
      </w:r>
      <w:r>
        <w:rPr>
          <w:i/>
          <w:iCs/>
        </w:rPr>
        <w:t xml:space="preserve">Plaintiff S297/2013</w:t>
      </w:r>
      <w:r>
        <w:rPr>
          <w:b/>
          <w:bCs/>
          <w:color w:val="B00000"/>
          <w:sz w:val="16"/>
          <w:szCs w:val="16"/>
        </w:rPr>
        <w:t xml:space="preserve"> [PIN]</w:t>
      </w:r>
      <w:r>
        <w:t xml:space="preserve">). The remedy is discretionary and compels the </w:t>
      </w:r>
      <w:r>
        <w:rPr>
          <w:i/>
          <w:iCs/>
        </w:rPr>
        <w:t xml:space="preserve">exercise</w:t>
      </w:r>
      <w:r>
        <w:t xml:space="preserve"> of jurisdiction, not the outcome; its present value is also leverage. It is a backstop, to be used after the on-the-record expedition request has been made and left unanswered, and after a timeliness escalation to the President.</w:t>
      </w:r>
    </w:p>
    <w:p>
      <w:pPr>
        <w:spacing w:after="120" w:line="276"/>
      </w:pPr>
      <w:r>
        <w:rPr>
          <w:b/>
          <w:bCs/>
        </w:rPr>
        <w:t xml:space="preserve">Reserve sword. </w:t>
      </w:r>
      <w:r>
        <w:t xml:space="preserve">Separately, extreme delay can invalidate a decision once made (</w:t>
      </w:r>
      <w:r>
        <w:rPr>
          <w:i/>
          <w:iCs/>
        </w:rPr>
        <w:t xml:space="preserve">NAIS v Minister for Immigration and Multicultural and Indigenous Affairs </w:t>
      </w:r>
      <w:r>
        <w:t xml:space="preserve">(2005) 228 CLR 470</w:t>
      </w:r>
      <w:r>
        <w:rPr>
          <w:b/>
          <w:bCs/>
          <w:color w:val="1F7A1F"/>
          <w:sz w:val="16"/>
          <w:szCs w:val="16"/>
        </w:rPr>
        <w:t xml:space="preserve"> [VERIFIED]</w:t>
      </w:r>
      <w:r>
        <w:t xml:space="preserve">); preserve this against any adverse decision the Tribunal makes after this delay.</w:t>
      </w:r>
    </w:p>
    <w:p>
      <w:pPr>
        <w:pStyle w:val="Heading1"/>
      </w:pPr>
      <w:r>
        <w:t xml:space="preserve">Part G — Matters counsel must settle before filing</w:t>
      </w:r>
    </w:p>
    <w:p>
      <w:pPr>
        <w:pStyle w:val="ListParagraph"/>
        <w:numPr>
          <w:ilvl w:val="0"/>
          <w:numId w:val="5"/>
        </w:numPr>
        <w:spacing w:after="100" w:line="276"/>
      </w:pPr>
      <w:r>
        <w:rPr>
          <w:b/>
          <w:bCs/>
        </w:rPr>
        <w:t xml:space="preserve">Respondent identity and structure. </w:t>
      </w:r>
      <w:r>
        <w:t xml:space="preserve">The correct respondent for each head (CEO of the NDIA; the NDIA; the Commonwealth; the Tribunal/member for the delay strand), and whether the NDIA-conduct review and the Tribunal-delay mandamus belong in one proceeding or two.</w:t>
      </w:r>
    </w:p>
    <w:p>
      <w:pPr>
        <w:pStyle w:val="ListParagraph"/>
        <w:numPr>
          <w:ilvl w:val="0"/>
          <w:numId w:val="5"/>
        </w:numPr>
        <w:spacing w:after="100" w:line="276"/>
      </w:pPr>
      <w:r>
        <w:rPr>
          <w:b/>
          <w:bCs/>
        </w:rPr>
        <w:t xml:space="preserve">The reviewable acts. </w:t>
      </w:r>
      <w:r>
        <w:t xml:space="preserve">Identify each “decision” or “conduct” precisely; some 2022 conduct may not be a “decision under an enactment” for ADJR — lead with s 39B.</w:t>
      </w:r>
    </w:p>
    <w:p>
      <w:pPr>
        <w:pStyle w:val="ListParagraph"/>
        <w:numPr>
          <w:ilvl w:val="0"/>
          <w:numId w:val="5"/>
        </w:numPr>
        <w:spacing w:after="100" w:line="276"/>
      </w:pPr>
      <w:r>
        <w:rPr>
          <w:b/>
          <w:bCs/>
        </w:rPr>
        <w:t xml:space="preserve">Time — now answered in part, not abandoned. </w:t>
      </w:r>
      <w:r>
        <w:t xml:space="preserve">Part E gives the continuing-conduct / declarations / misfeasance answer; counsel must still settle which decisions are in time and confirm the misfeasance limitation position. Do not file without a delay answer for each head.</w:t>
      </w:r>
    </w:p>
    <w:p>
      <w:pPr>
        <w:pStyle w:val="ListParagraph"/>
        <w:numPr>
          <w:ilvl w:val="0"/>
          <w:numId w:val="5"/>
        </w:numPr>
        <w:spacing w:after="100" w:line="276"/>
      </w:pPr>
      <w:r>
        <w:rPr>
          <w:b/>
          <w:bCs/>
        </w:rPr>
        <w:t xml:space="preserve">Standing. </w:t>
      </w:r>
      <w:r>
        <w:t xml:space="preserve">Confirm standing for each applicant on each head of relief.</w:t>
      </w:r>
    </w:p>
    <w:p>
      <w:pPr>
        <w:pStyle w:val="ListParagraph"/>
        <w:numPr>
          <w:ilvl w:val="0"/>
          <w:numId w:val="5"/>
        </w:numPr>
        <w:spacing w:after="100" w:line="276"/>
      </w:pPr>
      <w:r>
        <w:rPr>
          <w:b/>
          <w:bCs/>
        </w:rPr>
        <w:t xml:space="preserve">The 26 July 2024 non-disclosure orders. </w:t>
      </w:r>
      <w:r>
        <w:t xml:space="preserve">Reliance on Project Archer / the Tactical Intelligence Report is constrained by the Tribunal’s orders; move to discharge or qualify them first.</w:t>
      </w:r>
    </w:p>
    <w:p>
      <w:pPr>
        <w:pStyle w:val="ListParagraph"/>
        <w:numPr>
          <w:ilvl w:val="0"/>
          <w:numId w:val="5"/>
        </w:numPr>
        <w:spacing w:after="100" w:line="276"/>
      </w:pPr>
      <w:r>
        <w:rPr>
          <w:b/>
          <w:bCs/>
        </w:rPr>
        <w:t xml:space="preserve">Forum and costs. </w:t>
      </w:r>
      <w:r>
        <w:t xml:space="preserve">Federal Court (s 39B) versus the Federal Circuit and Family Court; and the adverse-costs exposure (costs follow the event), unlike the Tribunal’s limited-costs regime.</w:t>
      </w:r>
    </w:p>
    <w:p>
      <w:pPr>
        <w:pStyle w:val="ListParagraph"/>
        <w:numPr>
          <w:ilvl w:val="0"/>
          <w:numId w:val="5"/>
        </w:numPr>
        <w:spacing w:after="100" w:line="276"/>
      </w:pPr>
      <w:r>
        <w:rPr>
          <w:b/>
          <w:bCs/>
        </w:rPr>
        <w:t xml:space="preserve">Evidence and verification. </w:t>
      </w:r>
      <w:r>
        <w:t xml:space="preserve">Pin every [PIN] authority and the CDPP discontinuance date/basis; build only on the verified items in the Evidence Matrix (v3); plead the located NDIA primaries (EM-029, EM-030, EM-031) verbatim; do not assert unverified items as fact; secure Mr Shapiera’s signed statement (perishable witness) to convert EM-031 to first-person proof.</w:t>
      </w:r>
    </w:p>
    <w:p>
      <w:pPr>
        <w:pStyle w:val="Heading1"/>
      </w:pPr>
      <w:r>
        <w:t xml:space="preserve">Schedule 1 — Documentary exhibits (located 14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526"/>
        <w:gridCol w:w="3500"/>
      </w:tblGrid>
      <w:tr>
        <w:trPr>
          <w:tblHeader/>
        </w:trPr>
        <w:tc>
          <w:tcPr>
            <w:tcW w:type="dxa" w:w="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EM</w:t>
            </w:r>
          </w:p>
        </w:tc>
        <w:tc>
          <w:tcPr>
            <w:tcW w:type="dxa" w:w="13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Date</w:t>
            </w:r>
          </w:p>
        </w:tc>
        <w:tc>
          <w:tcPr>
            <w:tcW w:type="dxa" w:w="352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Document</w:t>
            </w:r>
          </w:p>
        </w:tc>
        <w:tc>
          <w:tcPr>
            <w:tcW w:type="dxa" w:w="3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Why it matters</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029</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29 Sep 2022</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Halls (NDIA) “coordinated provider exit” email</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Improper purpose / beyond power in the officer’s own words</w:t>
            </w:r>
          </w:p>
        </w:tc>
      </w:tr>
      <w:tr>
        <w:tc>
          <w:tcPr>
            <w:tcW w:type="dxa" w:w="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030</w:t>
            </w:r>
          </w:p>
        </w:tc>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17 Oct 2022</w:t>
            </w:r>
          </w:p>
        </w:tc>
        <w:tc>
          <w:tcPr>
            <w:tcW w:type="dxa" w:w="35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Bhandari (NDIA) reallocation to Diversitas</w:t>
            </w:r>
          </w:p>
        </w:tc>
        <w:tc>
          <w:tcPr>
            <w:tcW w:type="dxa" w:w="3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NDIA itself moved FFG’s participant to a competitor</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031</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9–11 Oct 2022</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Shapiera → Lundgren (NDIA) + NDIA acknowledgment</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First-person inducement account; NDIA on notice</w:t>
            </w:r>
          </w:p>
        </w:tc>
      </w:tr>
      <w:tr>
        <w:tc>
          <w:tcPr>
            <w:tcW w:type="dxa" w:w="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032</w:t>
            </w:r>
          </w:p>
        </w:tc>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30 Sep 2022</w:t>
            </w:r>
          </w:p>
        </w:tc>
        <w:tc>
          <w:tcPr>
            <w:tcW w:type="dxa" w:w="35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Vida → Bennett Law file-note (Tear quote)</w:t>
            </w:r>
          </w:p>
        </w:tc>
        <w:tc>
          <w:tcPr>
            <w:tcW w:type="dxa" w:w="3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Corroborates EM-031 (hearsay; plead via EM-031)</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033</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2022</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NDIA Compliance Lock / Payment Review chain</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The payment-lock mechanism, from NDIA records</w:t>
            </w:r>
          </w:p>
        </w:tc>
      </w:tr>
      <w:tr>
        <w:tc>
          <w:tcPr>
            <w:tcW w:type="dxa" w:w="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034</w:t>
            </w:r>
          </w:p>
        </w:tc>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Oct 2022</w:t>
            </w:r>
          </w:p>
        </w:tc>
        <w:tc>
          <w:tcPr>
            <w:tcW w:type="dxa" w:w="35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Karen Ruth (Assist Plan Managers) thread</w:t>
            </w:r>
          </w:p>
        </w:tc>
        <w:tc>
          <w:tcPr>
            <w:tcW w:type="dxa" w:w="3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Identifies “Karen”; clients moved to Diversitas</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035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2023–26</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Registry delay chronology</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Mandamus / constructive failure to exercise jurisdiction</w:t>
            </w:r>
          </w:p>
        </w:tc>
      </w:tr>
      <w:tr>
        <w:tc>
          <w:tcPr>
            <w:tcW w:type="dxa" w:w="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036</w:t>
            </w:r>
          </w:p>
        </w:tc>
        <w:tc>
          <w:tcPr>
            <w:tcW w:type="dxa" w:w="13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5 Jun 2026</w:t>
            </w:r>
          </w:p>
        </w:tc>
        <w:tc>
          <w:tcPr>
            <w:tcW w:type="dxa" w:w="35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NDIA Provider Portal Lock — Hybrid Hive</w:t>
            </w:r>
          </w:p>
        </w:tc>
        <w:tc>
          <w:tcPr>
            <w:tcW w:type="dxa" w:w="3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Continuing NDIA conduct (answers the time point)</w:t>
            </w:r>
          </w:p>
        </w:tc>
      </w:tr>
    </w:tbl>
    <w:p>
      <w:pPr>
        <w:spacing w:before="120"/>
      </w:pPr>
      <w:r>
        <w:rPr>
          <w:i/>
          <w:iCs/>
        </w:rPr>
        <w:t xml:space="preserve">Full retrieval identifiers (internetMessageId / Gmail threadId) are in the “New Primaries Index” tab of Evidence_Matrix_v3_MERGED_14_June_2026.xlsx.</w:t>
      </w:r>
    </w:p>
    <w:p>
      <w:pPr>
        <w:pStyle w:val="Heading1"/>
      </w:pPr>
      <w:r>
        <w:t xml:space="preserve">Authorities — quick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126"/>
        <w:gridCol w:w="1500"/>
      </w:tblGrid>
      <w:tr>
        <w:trPr>
          <w:tblHeader/>
        </w:trPr>
        <w:tc>
          <w:tcPr>
            <w:tcW w:type="dxa" w:w="34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Authority</w:t>
            </w:r>
          </w:p>
        </w:tc>
        <w:tc>
          <w:tcPr>
            <w:tcW w:type="dxa" w:w="412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Proposition</w:t>
            </w:r>
          </w:p>
        </w:tc>
        <w:tc>
          <w:tcPr>
            <w:tcW w:type="dxa" w:w="1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Status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Constitution s 75(v)</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HC jurisdiction: writs v officer of the Commonwealth</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Judiciary Act 1903 (Cth) s 39B(1), (1A)(c)</w:t>
            </w:r>
          </w:p>
        </w:tc>
        <w:tc>
          <w:tcPr>
            <w:tcW w:type="dxa" w:w="41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Federal Court: same jurisdiction</w:t>
            </w:r>
          </w:p>
        </w:tc>
        <w:tc>
          <w:tcPr>
            <w:tcW w:type="dxa" w:w="1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PIN (confirm wording)</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Padfield [1968] AC 997</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Power used for an extraneous purpose is invalid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R v Toohey; Ex parte NLC (1981) 151 CLR 170</w:t>
            </w:r>
          </w:p>
        </w:tc>
        <w:tc>
          <w:tcPr>
            <w:tcW w:type="dxa" w:w="41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Improper purpose reviewable even of high office</w:t>
            </w:r>
          </w:p>
        </w:tc>
        <w:tc>
          <w:tcPr>
            <w:tcW w:type="dxa" w:w="1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Thompson v Randwick Corporation (1950) 81 CLR 87</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The “substantial purpose” test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Minister for Immigration v Li (2013) 249 CLR 332</w:t>
            </w:r>
          </w:p>
        </w:tc>
        <w:tc>
          <w:tcPr>
            <w:tcW w:type="dxa" w:w="41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Legal unreasonableness</w:t>
            </w:r>
          </w:p>
        </w:tc>
        <w:tc>
          <w:tcPr>
            <w:tcW w:type="dxa" w:w="1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NT v Mengel (1995) 185 CLR 307</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Misfeasance in public office — elements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Sanders v Snell (1998) 196 CLR 329</w:t>
            </w:r>
          </w:p>
        </w:tc>
        <w:tc>
          <w:tcPr>
            <w:tcW w:type="dxa" w:w="41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Misfeasance — Australian formulation</w:t>
            </w:r>
          </w:p>
        </w:tc>
        <w:tc>
          <w:tcPr>
            <w:tcW w:type="dxa" w:w="1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Ex parte Aala (2000) 204 CLR 82</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Constitutional writs are discretionary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Ex parte Ozone Theatres (1949) 78 CLR 389</w:t>
            </w:r>
          </w:p>
        </w:tc>
        <w:tc>
          <w:tcPr>
            <w:tcW w:type="dxa" w:w="41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Discretionary bars; demand; alternative remedy</w:t>
            </w:r>
          </w:p>
        </w:tc>
        <w:tc>
          <w:tcPr>
            <w:tcW w:type="dxa" w:w="1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Plaintiff S297/2013 [2014] HCA 24; (2014) 255 CLR 179</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Duty to decide within a reasonable time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PIN (¶/bench)</w:t>
            </w:r>
          </w:p>
        </w:tc>
      </w:tr>
      <w:tr>
        <w:tc>
          <w:tcPr>
            <w:tcW w:type="dxa" w:w="34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Thornton v Repatriation Commission (1981) 52 FLR 285</w:t>
            </w:r>
          </w:p>
        </w:tc>
        <w:tc>
          <w:tcPr>
            <w:tcW w:type="dxa" w:w="41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Test: delay “justified and not capricious”</w:t>
            </w:r>
          </w:p>
        </w:tc>
        <w:tc>
          <w:tcPr>
            <w:tcW w:type="dxa" w:w="1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PIN (pinpoint)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NAIS (2005) 228 CLR 470</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Extreme delay can invalidate a decision (reserve)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6"/>
                <w:szCs w:val="16"/>
              </w:rPr>
              <w:t xml:space="preserve">VERIFIED</w:t>
            </w:r>
          </w:p>
        </w:tc>
      </w:tr>
      <w:tr>
        <w:tc>
          <w:tcPr>
            <w:tcW w:type="dxa" w:w="34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Shi v MARA (2008) 235 CLR 286</w:t>
            </w:r>
          </w:p>
        </w:tc>
        <w:tc>
          <w:tcPr>
            <w:tcW w:type="dxa" w:w="4126"/>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Merits as at the date of decision (ART track)</w:t>
            </w:r>
          </w:p>
        </w:tc>
        <w:tc>
          <w:tcPr>
            <w:tcW w:type="dxa" w:w="1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tcPr>
          <w:p>
            <w:pPr>
              <w:spacing w:after="0"/>
            </w:pPr>
            <w:r>
              <w:rPr>
                <w:b w:val="false"/>
                <w:bCs w:val="false"/>
                <w:color w:val="000000"/>
                <w:sz w:val="16"/>
                <w:szCs w:val="16"/>
              </w:rPr>
              <w:t xml:space="preserve">VERIFIED</w:t>
            </w:r>
          </w:p>
        </w:tc>
      </w:tr>
    </w:tbl>
    <w:p>
      <w:pPr>
        <w:spacing w:before="200"/>
      </w:pPr>
      <w:r>
        <w:rPr>
          <w:b/>
          <w:bCs/>
        </w:rPr>
        <w:t xml:space="preserve">Dated: </w:t>
      </w:r>
      <w:r>
        <w:t xml:space="preserve">14 June 2026.   Prepared to brief counsel; for settling by counsel before any filing. Simon Reid and Vida Reid (self-represented applicants).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Reid v NDIA — Originating Application for Judicial Review (working draft v2, 14 June 2026) — not for filing — 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decimal"/>
      <w:lvlText w:val="D%1."/>
      <w:lvlJc w:val="left"/>
      <w:pPr>
        <w:ind w:left="620" w:hanging="420"/>
      </w:pPr>
    </w:lvl>
  </w:abstractNum>
  <w:abstractNum w:abstractNumId="4" w15:restartNumberingAfterBreak="0">
    <w:multiLevelType w:val="hybridMultilevel"/>
    <w:lvl w:ilvl="0" w15:tentative="1">
      <w:start w:val="1"/>
      <w:numFmt w:val="decimal"/>
      <w:lvlText w:val="E%1."/>
      <w:lvlJc w:val="left"/>
      <w:pPr>
        <w:ind w:left="620" w:hanging="420"/>
      </w:pPr>
    </w:lvl>
  </w:abstractNum>
  <w:abstractNum w:abstractNumId="5" w15:restartNumberingAfterBreak="0">
    <w:multiLevelType w:val="hybridMultilevel"/>
    <w:lvl w:ilvl="0" w15:tentative="1">
      <w:start w:val="1"/>
      <w:numFmt w:val="decimal"/>
      <w:lvlText w:val="G%1."/>
      <w:lvlJc w:val="left"/>
      <w:pPr>
        <w:ind w:left="6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8"/>
      <w:sz w:val="26"/>
      <w:szCs w:val="26"/>
    </w:rPr>
  </w:style>
  <w:style w:type="paragraph" w:styleId="Heading2">
    <w:name w:val="Heading 2"/>
    <w:basedOn w:val="Normal"/>
    <w:next w:val="Normal"/>
    <w:qFormat/>
    <w:pPr>
      <w:spacing w:after="100" w:before="16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2026-06-14T07:10:34.856Z</dcterms:created>
  <dcterms:modified xsi:type="dcterms:W3CDTF">2026-06-14T07:10:34.857Z</dcterms:modified>
</cp:coreProperties>
</file>

<file path=docProps/custom.xml><?xml version="1.0" encoding="utf-8"?>
<Properties xmlns="http://schemas.openxmlformats.org/officeDocument/2006/custom-properties" xmlns:vt="http://schemas.openxmlformats.org/officeDocument/2006/docPropsVTypes"/>
</file>