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FEDERAL COURT OF AUSTRALIA</w:t>
      </w:r>
    </w:p>
    <w:p>
      <w:pPr>
        <w:spacing w:after="120"/>
        <w:jc w:val="center"/>
      </w:pPr>
      <w:r>
        <w:t xml:space="preserve">[Western Australia] District Registry  ·  General Division  ·  Administrative &amp; Constitutional Law and Human Rights NPA</w:t>
      </w:r>
    </w:p>
    <w:p>
      <w:pPr>
        <w:spacing w:after="140"/>
        <w:jc w:val="center"/>
      </w:pPr>
      <w:r>
        <w:t xml:space="preserve">No.            of 2026</w:t>
      </w:r>
    </w:p>
    <w:p>
      <w:pPr>
        <w:spacing w:after="60"/>
      </w:pPr>
      <w:r>
        <w:rPr>
          <w:b/>
          <w:bCs/>
        </w:rPr>
        <w:t xml:space="preserve">BETWEEN:  </w:t>
      </w:r>
      <w:r>
        <w:t xml:space="preserve">SIMON REID (First Applicant); VIDA REID (Second Applicant); FORWARD FOCUSED GROUP PTY LTD (Third Applicant)</w:t>
      </w:r>
    </w:p>
    <w:p>
      <w:pPr>
        <w:spacing w:after="140"/>
      </w:pPr>
      <w:r>
        <w:rPr>
          <w:b/>
          <w:bCs/>
        </w:rPr>
        <w:t xml:space="preserve">AND:  </w:t>
      </w:r>
      <w:r>
        <w:t xml:space="preserve">CHIEF EXECUTIVE OFFICER, NATIONAL DISABILITY INSURANCE AGENCY (First Respondent); NATIONAL DISABILITY INSURANCE AGENCY (Second Respondent); and, on the delay strand only, the ADMINISTRATIVE REVIEW TRIBUNAL (respondent identity to be settled — Part J).</w:t>
      </w:r>
    </w:p>
    <w:p>
      <w:pPr>
        <w:spacing w:after="160"/>
        <w:jc w:val="center"/>
      </w:pPr>
      <w:r>
        <w:rPr>
          <w:b/>
          <w:bCs/>
        </w:rPr>
        <w:t xml:space="preserve">ORIGINATING APPLICATION FOR JUDICIAL REVIEW — working draft v3 (counter-arguments built in)</w:t>
      </w:r>
    </w:p>
    <w:p>
      <w:pPr>
        <w:spacing w:after="120" w:line="276"/>
      </w:pPr>
      <w:r>
        <w:rPr>
          <w:b/>
          <w:bCs/>
        </w:rPr>
        <w:t xml:space="preserve">Status and caveat.  </w:t>
      </w:r>
      <w:r>
        <w:t xml:space="preserve">Working draft (v3) to brief counsel; not a settled pleading and not for filing. v3 adds the central question of NDIA power versus Commission power (Parts A–B), an ultra vires/usurpation ground and a procedural-fairness ground (Part E), and a full map of the anticipated respondent defences and the answers to them (Part I). Authorities are tagged </w:t>
      </w:r>
      <w:r>
        <w:rPr>
          <w:b/>
          <w:bCs/>
          <w:color w:val="1F7A1F"/>
          <w:sz w:val="15"/>
          <w:szCs w:val="15"/>
        </w:rPr>
        <w:t xml:space="preserve">[VERIFIED]</w:t>
      </w:r>
      <w:r>
        <w:t xml:space="preserve"> or </w:t>
      </w:r>
      <w:r>
        <w:rPr>
          <w:b/>
          <w:bCs/>
          <w:color w:val="B00000"/>
          <w:sz w:val="15"/>
          <w:szCs w:val="15"/>
        </w:rPr>
        <w:t xml:space="preserve">[PIN]</w:t>
      </w:r>
      <w:r>
        <w:t xml:space="preserve"> (pin before filing). </w:t>
      </w:r>
      <w:r>
        <w:rPr>
          <w:b/>
          <w:bCs/>
        </w:rPr>
        <w:t xml:space="preserve">Nothing in this document concedes any fraud or wrongdoing by any applicant or associated entity; the Commission’s case, and any allegation against the applicants, is contested in its entirety.</w:t>
      </w:r>
    </w:p>
    <w:p>
      <w:pPr>
        <w:pStyle w:val="Heading1"/>
      </w:pPr>
      <w:r>
        <w:t xml:space="preserve">Part A — The central question, and the short answer</w:t>
      </w:r>
    </w:p>
    <w:p>
      <w:pPr>
        <w:spacing w:after="120" w:line="276"/>
      </w:pPr>
      <w:r>
        <w:rPr>
          <w:b/>
          <w:bCs/>
        </w:rPr>
        <w:t xml:space="preserve">The question.  </w:t>
      </w:r>
      <w:r>
        <w:t xml:space="preserve">Could the NDIA lawfully do what it did to the Third Applicant — coordinate its exit from the sector, lock its payments and reassign its participants to a competitor — in September–October 2022, when no NDIS Quality and Safeguards Commission finding, compliance notice, registration revocation or banning order yet existed? (The Commission’s banning orders were not made until 21 December 2022.)</w:t>
      </w:r>
    </w:p>
    <w:p>
      <w:pPr>
        <w:spacing w:after="120" w:line="276"/>
      </w:pPr>
      <w:r>
        <w:rPr>
          <w:b/>
          <w:bCs/>
        </w:rPr>
        <w:t xml:space="preserve">Short answer: no.  </w:t>
      </w:r>
      <w:r>
        <w:t xml:space="preserve">By the time of the impugned conduct, the regulation of NDIS providers in Western Australia — registration, compliance, enforcement, market oversight and banning — was the exclusive statutory province of the Commission under Chapter 6A; the Commission assumed responsibility for WA providers on 1 December 2020</w:t>
      </w:r>
      <w:r>
        <w:rPr>
          <w:b/>
          <w:bCs/>
          <w:color w:val="B00000"/>
          <w:sz w:val="15"/>
          <w:szCs w:val="15"/>
        </w:rPr>
        <w:t xml:space="preserve"> [PIN]</w:t>
      </w:r>
      <w:r>
        <w:t xml:space="preserve">. The NDIA’s functions (s 118) are scheme delivery, payments and financial sustainability, together with a payment-focused fraud-response function. The NDIA had no power to register, deregister, ban, declare a provider “unsuitable”, or engineer a provider’s exit — still less to do so without the procedural fairness the banning power requires. What the NDIA did was a de facto banning, achieved by an officer “leading a coordinated provider exit on behalf of the NDIA”, months before the Commission acted and without any of the findings, process or review rights the Act reserves to the Commission. That is beyond power and/or an improper-purpose circumvention of the Commission’s exclusive regime; and the Commission’s later orders cannot retrospectively authorise the NDIA’s earlier conduct.</w:t>
      </w:r>
    </w:p>
    <w:p>
      <w:pPr>
        <w:pStyle w:val="Heading1"/>
      </w:pPr>
      <w:r>
        <w:t xml:space="preserve">Part B — The two regulators’ powers, weighed against the timeline</w:t>
      </w:r>
    </w:p>
    <w:p>
      <w:pPr>
        <w:spacing w:after="120" w:line="276"/>
      </w:pPr>
      <w:r>
        <w:t xml:space="preserve">The Act splits provider regulation from scheme delivery between two different bodies. The conduct in issue fell on the Commission’s side of that line — and the NDIA acted first.</w:t>
      </w:r>
    </w:p>
    <w:p>
      <w:pPr>
        <w:pStyle w:val="Heading2"/>
      </w:pPr>
      <w:r>
        <w:t xml:space="preserve">B.1  Which body holds which 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3000"/>
        <w:gridCol w:w="2500"/>
      </w:tblGrid>
      <w:tr>
        <w:trPr>
          <w:tblHeader/>
        </w:trPr>
        <w:tc>
          <w:tcPr>
            <w:tcW w:type="dxa" w:w="3526"/>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Power / function</w:t>
            </w:r>
          </w:p>
        </w:tc>
        <w:tc>
          <w:tcPr>
            <w:tcW w:type="dxa" w:w="3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Commission (Ch 6A)</w:t>
            </w:r>
          </w:p>
        </w:tc>
        <w:tc>
          <w:tcPr>
            <w:tcW w:type="dxa" w:w="25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NDIA (s 118)</w:t>
            </w:r>
          </w:p>
        </w:tc>
      </w:tr>
      <w:tr>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Register / deregister an NDIS provider</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Yes — registration &amp; revocation (s 73E; revocation [PIN])</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No</w:t>
            </w:r>
          </w:p>
        </w:tc>
      </w:tr>
      <w:tr>
        <w:tc>
          <w:tcPr>
            <w:tcW w:type="dxa" w:w="35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Ban a provider or person / engineer a “provider exit”</w:t>
            </w:r>
          </w:p>
        </w:tc>
        <w:tc>
          <w:tcPr>
            <w:tcW w:type="dxa" w:w="30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Yes — banning orders, after an opportunity to make submissions (s 73ZN)</w:t>
            </w:r>
          </w:p>
        </w:tc>
        <w:tc>
          <w:tcPr>
            <w:tcW w:type="dxa" w:w="2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No</w:t>
            </w:r>
          </w:p>
        </w:tc>
      </w:tr>
      <w:tr>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Find a provider “not suitable” / non-compliant</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Yes — compliance &amp; enforcement (s 181E(d)); compliance notices (s 73ZM)</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No</w:t>
            </w:r>
          </w:p>
        </w:tc>
      </w:tr>
      <w:tr>
        <w:tc>
          <w:tcPr>
            <w:tcW w:type="dxa" w:w="35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Oversee the provider market / manage “unplanned service withdrawal”</w:t>
            </w:r>
          </w:p>
        </w:tc>
        <w:tc>
          <w:tcPr>
            <w:tcW w:type="dxa" w:w="30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Yes — market oversight (s 181E(i))</w:t>
            </w:r>
          </w:p>
        </w:tc>
        <w:tc>
          <w:tcPr>
            <w:tcW w:type="dxa" w:w="2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No</w:t>
            </w:r>
          </w:p>
        </w:tc>
      </w:tr>
      <w:tr>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Investigate provider conduct generally</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Yes — monitoring/investigation (s 181E(d); Div 8, Pt 3A, Ch 4)</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Only re payment/funding misuse (s 118(1)(ba))</w:t>
            </w:r>
          </w:p>
        </w:tc>
      </w:tr>
      <w:tr>
        <w:tc>
          <w:tcPr>
            <w:tcW w:type="dxa" w:w="35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Deliver the Scheme; manage participant plans and payments</w:t>
            </w:r>
          </w:p>
        </w:tc>
        <w:tc>
          <w:tcPr>
            <w:tcW w:type="dxa" w:w="30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No</w:t>
            </w:r>
          </w:p>
        </w:tc>
        <w:tc>
          <w:tcPr>
            <w:tcW w:type="dxa" w:w="2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Yes (s 118(1)(a),(b))</w:t>
            </w:r>
          </w:p>
        </w:tc>
      </w:tr>
      <w:tr>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Review or withhold specific, dubious payment claims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(shares the fraud interest)</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Yes — payment integrity (s 118(1)(b),(ba))</w:t>
            </w:r>
          </w:p>
        </w:tc>
      </w:tr>
      <w:tr>
        <w:tc>
          <w:tcPr>
            <w:tcW w:type="dxa" w:w="35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Ensure financial sustainability</w:t>
            </w:r>
          </w:p>
        </w:tc>
        <w:tc>
          <w:tcPr>
            <w:tcW w:type="dxa" w:w="30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Advisory only</w:t>
            </w:r>
          </w:p>
        </w:tc>
        <w:tc>
          <w:tcPr>
            <w:tcW w:type="dxa" w:w="2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Yes (s 118(2)(c))</w:t>
            </w:r>
          </w:p>
        </w:tc>
      </w:tr>
      <w:tr>
        <w:tc>
          <w:tcPr>
            <w:tcW w:type="dxa" w:w="35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Afford procedural fairness before adverse provider action</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Built in (s 73ZN — prior submissions)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 (no such power exists to begin with)</w:t>
            </w:r>
          </w:p>
        </w:tc>
      </w:tr>
    </w:tbl>
    <w:p>
      <w:pPr>
        <w:spacing w:after="140" w:before="80"/>
      </w:pPr>
      <w:r>
        <w:rPr>
          <w:i/>
          <w:iCs/>
        </w:rPr>
        <w:t xml:space="preserve">Reading: every lever the NDIA pulled against FFG — exit, reallocation, an effective “unsuitability” determination — sits in the left column (the Commission’s). The only lever in the NDIA’s column that it was entitled to pull was payment integrity on specific claims.</w:t>
      </w:r>
    </w:p>
    <w:p>
      <w:pPr>
        <w:pStyle w:val="Heading2"/>
      </w:pPr>
      <w:r>
        <w:t xml:space="preserve">B.2  The timeline, mapped to whose power was being exercised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326"/>
        <w:gridCol w:w="3500"/>
      </w:tblGrid>
      <w:tr>
        <w:trPr>
          <w:tblHeader/>
        </w:trPr>
        <w:tc>
          <w:tcPr>
            <w:tcW w:type="dxa" w:w="12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Date</w:t>
            </w:r>
          </w:p>
        </w:tc>
        <w:tc>
          <w:tcPr>
            <w:tcW w:type="dxa" w:w="4326"/>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Event</w:t>
            </w:r>
          </w:p>
        </w:tc>
        <w:tc>
          <w:tcPr>
            <w:tcW w:type="dxa" w:w="35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Whose power was it really?</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1 Dec 2020</w:t>
            </w:r>
          </w:p>
        </w:tc>
        <w:tc>
          <w:tcPr>
            <w:tcW w:type="dxa" w:w="4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Commission assumes regulation of WA providers</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Commission</w:t>
            </w:r>
          </w:p>
        </w:tc>
      </w:tr>
      <w:tr>
        <w:tc>
          <w:tcPr>
            <w:tcW w:type="dxa" w:w="12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2022 (Apr–Jul)</w:t>
            </w:r>
          </w:p>
        </w:tc>
        <w:tc>
          <w:tcPr>
            <w:tcW w:type="dxa" w:w="43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NDIA “compliance lock” / payment review on FFG claims</w:t>
            </w:r>
          </w:p>
        </w:tc>
        <w:tc>
          <w:tcPr>
            <w:tcW w:type="dxa" w:w="3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NDIA payment integrity — within power if bona fide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29 Sep 2022</w:t>
            </w:r>
          </w:p>
        </w:tc>
        <w:tc>
          <w:tcPr>
            <w:tcW w:type="dxa" w:w="4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Halls: “I am leading a coordinated provider exit on behalf of the NDIA”</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COMMISSION’s (banning/exit) — NDIA acting beyond power</w:t>
            </w:r>
          </w:p>
        </w:tc>
      </w:tr>
      <w:tr>
        <w:tc>
          <w:tcPr>
            <w:tcW w:type="dxa" w:w="12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9–11 Oct 2022</w:t>
            </w:r>
          </w:p>
        </w:tc>
        <w:tc>
          <w:tcPr>
            <w:tcW w:type="dxa" w:w="43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Shapiera tells NDIA State Manager of Halls’s inducements; NDIA acknowledges</w:t>
            </w:r>
          </w:p>
        </w:tc>
        <w:tc>
          <w:tcPr>
            <w:tcW w:type="dxa" w:w="3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NDIA on notice; no Commission process invoked</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17 Oct 2022</w:t>
            </w:r>
          </w:p>
        </w:tc>
        <w:tc>
          <w:tcPr>
            <w:tcW w:type="dxa" w:w="4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NDIA delegate reassigns an FFG participant to Diversitas</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COMMISSION’s (regulation / market oversight) — beyond power</w:t>
            </w:r>
          </w:p>
        </w:tc>
      </w:tr>
      <w:tr>
        <w:tc>
          <w:tcPr>
            <w:tcW w:type="dxa" w:w="12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21 Dec 2022</w:t>
            </w:r>
          </w:p>
        </w:tc>
        <w:tc>
          <w:tcPr>
            <w:tcW w:type="dxa" w:w="43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Commission makes the banning orders</w:t>
            </w:r>
          </w:p>
        </w:tc>
        <w:tc>
          <w:tcPr>
            <w:tcW w:type="dxa" w:w="3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Commission’s — but after the exit was already accomplished</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21 Apr 2023</w:t>
            </w:r>
          </w:p>
        </w:tc>
        <w:tc>
          <w:tcPr>
            <w:tcW w:type="dxa" w:w="43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Commission internal reviews vary the orders (basis pegged to the criminal process)</w:t>
            </w:r>
          </w:p>
        </w:tc>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Commission’s</w:t>
            </w:r>
          </w:p>
        </w:tc>
      </w:tr>
      <w:tr>
        <w:tc>
          <w:tcPr>
            <w:tcW w:type="dxa" w:w="12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2024–5 Jun 2026</w:t>
            </w:r>
          </w:p>
        </w:tc>
        <w:tc>
          <w:tcPr>
            <w:tcW w:type="dxa" w:w="43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NDIA SCNC calls; ABF border stops; Provider Portal Lock on Hybrid Hive</w:t>
            </w:r>
          </w:p>
        </w:tc>
        <w:tc>
          <w:tcPr>
            <w:tcW w:type="dxa" w:w="3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Continuing NDIA conduct</w:t>
            </w:r>
          </w:p>
        </w:tc>
      </w:tr>
    </w:tbl>
    <w:p>
      <w:pPr>
        <w:spacing w:after="120" w:line="276"/>
      </w:pPr>
      <w:r>
        <w:rPr>
          <w:b/>
          <w:bCs/>
        </w:rPr>
        <w:t xml:space="preserve">The weighing.  </w:t>
      </w:r>
      <w:r>
        <w:t xml:space="preserve">Place the two columns against the dates and the imbalance is stark. The NDIA’s only in-power lever was payment integrity on specific claims. Everything else it did — coordinating an exit, reassigning participants, treating FFG as “unsuitable” — was an exercise of functions the Act assigns exclusively to the Commission, and it occurred roughly three months before the Commission made any order. The NDIA achieved by executive action, and without submissions, the very outcome the Act says may be reached only by the Commission, only on defined grounds, and only after procedural fairness (s 73ZN). The Commission’s 21 December 2022 orders post-date the conduct and cannot cure it; and the Commission’s own reasons later tied the ban to an unresolved criminal process — confirming that, as at September–October 2022, there was no lawful provider-level determination of any kind on which the NDIA’s conduct could rest.</w:t>
      </w:r>
    </w:p>
    <w:p>
      <w:pPr>
        <w:pStyle w:val="Heading1"/>
      </w:pPr>
      <w:r>
        <w:t xml:space="preserve">Part C — Jurisdiction invoked</w:t>
      </w:r>
    </w:p>
    <w:p>
      <w:pPr>
        <w:pStyle w:val="ListParagraph"/>
        <w:numPr>
          <w:ilvl w:val="0"/>
          <w:numId w:val="2"/>
        </w:numPr>
        <w:spacing w:after="100" w:line="276"/>
      </w:pPr>
      <w:r>
        <w:t xml:space="preserve">Original jurisdiction under </w:t>
      </w:r>
      <w:r>
        <w:rPr>
          <w:b/>
          <w:bCs/>
        </w:rPr>
        <w:t xml:space="preserve">s 39B(1) and s 39B(1A)(c), Judiciary Act 1903 (Cth)</w:t>
      </w:r>
      <w:r>
        <w:rPr>
          <w:b/>
          <w:bCs/>
          <w:color w:val="B00000"/>
          <w:sz w:val="15"/>
          <w:szCs w:val="15"/>
        </w:rPr>
        <w:t xml:space="preserve"> [PIN]</w:t>
      </w:r>
      <w:r>
        <w:t xml:space="preserve"> (mandamus, prohibition or injunction against an officer of the Commonwealth; matters arising under a law of the Parliament), and </w:t>
      </w:r>
      <w:r>
        <w:rPr>
          <w:b/>
          <w:bCs/>
        </w:rPr>
        <w:t xml:space="preserve">s 23, Federal Court of Australia Act 1976 (Cth)</w:t>
      </w:r>
      <w:r>
        <w:t xml:space="preserve">. ADJR Act review is pleaded in the alternative only, contingent on the “decision under an enactment” question</w:t>
      </w:r>
      <w:r>
        <w:rPr>
          <w:b/>
          <w:bCs/>
          <w:color w:val="B00000"/>
          <w:sz w:val="15"/>
          <w:szCs w:val="15"/>
        </w:rPr>
        <w:t xml:space="preserve"> [PIN]</w:t>
      </w:r>
      <w:r>
        <w:t xml:space="preserve">; s 39B is led.</w:t>
      </w:r>
    </w:p>
    <w:p>
      <w:pPr>
        <w:pStyle w:val="Heading1"/>
      </w:pPr>
      <w:r>
        <w:t xml:space="preserve">Part D — Relief sought</w:t>
      </w:r>
    </w:p>
    <w:p>
      <w:pPr>
        <w:pStyle w:val="ListParagraph"/>
        <w:numPr>
          <w:ilvl w:val="0"/>
          <w:numId w:val="2"/>
        </w:numPr>
        <w:spacing w:after="100" w:line="276"/>
      </w:pPr>
      <w:r>
        <w:rPr>
          <w:b/>
          <w:bCs/>
        </w:rPr>
        <w:t xml:space="preserve">Declaration (want of power / usurpation). </w:t>
      </w:r>
      <w:r>
        <w:t xml:space="preserve">That the conduct of engineering the Third Applicant’s exit from the sector and reassigning its participants was an exercise of functions reserved to the Commission under Chapter 6A, which the NDIA had no power to exercise, and was therefore beyond power.</w:t>
      </w:r>
    </w:p>
    <w:p>
      <w:pPr>
        <w:pStyle w:val="ListParagraph"/>
        <w:numPr>
          <w:ilvl w:val="0"/>
          <w:numId w:val="2"/>
        </w:numPr>
        <w:spacing w:after="100" w:line="276"/>
      </w:pPr>
      <w:r>
        <w:rPr>
          <w:b/>
          <w:bCs/>
        </w:rPr>
        <w:t xml:space="preserve">Declaration (improper purpose — payments). </w:t>
      </w:r>
      <w:r>
        <w:t xml:space="preserve">That the procuring of the freezing, locking or cessation of payments to the Third Applicant was for an improper purpose and/or beyond power.</w:t>
      </w:r>
    </w:p>
    <w:p>
      <w:pPr>
        <w:pStyle w:val="ListParagraph"/>
        <w:numPr>
          <w:ilvl w:val="0"/>
          <w:numId w:val="2"/>
        </w:numPr>
        <w:spacing w:after="100" w:line="276"/>
      </w:pPr>
      <w:r>
        <w:rPr>
          <w:b/>
          <w:bCs/>
        </w:rPr>
        <w:t xml:space="preserve">Declaration (improper purpose — reallocation). </w:t>
      </w:r>
      <w:r>
        <w:t xml:space="preserve">That the reallocation of the Third Applicant’s participants to competing providers (including Diversitas WA Pty Ltd) was for an improper purpose and/or beyond power.</w:t>
      </w:r>
    </w:p>
    <w:p>
      <w:pPr>
        <w:pStyle w:val="ListParagraph"/>
        <w:numPr>
          <w:ilvl w:val="0"/>
          <w:numId w:val="2"/>
        </w:numPr>
        <w:spacing w:after="100" w:line="276"/>
      </w:pPr>
      <w:r>
        <w:rPr>
          <w:b/>
          <w:bCs/>
        </w:rPr>
        <w:t xml:space="preserve">Declaration (procedural fairness). </w:t>
      </w:r>
      <w:r>
        <w:t xml:space="preserve">That the conduct achieved a banning/exit outcome without the opportunity to be heard that the Act requires before such a step, in denial of procedural fairness.</w:t>
      </w:r>
    </w:p>
    <w:p>
      <w:pPr>
        <w:pStyle w:val="ListParagraph"/>
        <w:numPr>
          <w:ilvl w:val="0"/>
          <w:numId w:val="2"/>
        </w:numPr>
        <w:spacing w:after="100" w:line="276"/>
      </w:pPr>
      <w:r>
        <w:rPr>
          <w:b/>
          <w:bCs/>
        </w:rPr>
        <w:t xml:space="preserve">Certiorari / injunction / correction of records </w:t>
      </w:r>
      <w:r>
        <w:t xml:space="preserve">as available; and orders for preliminary discovery and production (Federal Court Rules 2011 (Cth), rr 7.22–7.23</w:t>
      </w:r>
      <w:r>
        <w:rPr>
          <w:b/>
          <w:bCs/>
          <w:color w:val="B00000"/>
          <w:sz w:val="15"/>
          <w:szCs w:val="15"/>
        </w:rPr>
        <w:t xml:space="preserve"> [PIN]</w:t>
      </w:r>
      <w:r>
        <w:t xml:space="preserve">).</w:t>
      </w:r>
    </w:p>
    <w:p>
      <w:pPr>
        <w:pStyle w:val="ListParagraph"/>
        <w:numPr>
          <w:ilvl w:val="0"/>
          <w:numId w:val="2"/>
        </w:numPr>
        <w:spacing w:after="100" w:line="276"/>
      </w:pPr>
      <w:r>
        <w:rPr>
          <w:b/>
          <w:bCs/>
        </w:rPr>
        <w:t xml:space="preserve">Mandamus (delay strand) </w:t>
      </w:r>
      <w:r>
        <w:t xml:space="preserve">directed to the Administrative Review Tribunal to determine the applications (including severance) and proceed to hearing within a fixed time; costs; and further relief.</w:t>
      </w:r>
    </w:p>
    <w:p>
      <w:pPr>
        <w:pStyle w:val="Heading1"/>
      </w:pPr>
      <w:r>
        <w:t xml:space="preserve">Part E — Grounds</w:t>
      </w:r>
    </w:p>
    <w:p>
      <w:pPr>
        <w:pStyle w:val="ListParagraph"/>
        <w:numPr>
          <w:ilvl w:val="0"/>
          <w:numId w:val="2"/>
        </w:numPr>
        <w:spacing w:after="100" w:line="276"/>
      </w:pPr>
      <w:r>
        <w:rPr>
          <w:b/>
          <w:bCs/>
        </w:rPr>
        <w:t xml:space="preserve">Want of power / usurpation of the Commission’s exclusive functions. </w:t>
      </w:r>
      <w:r>
        <w:t xml:space="preserve">The impugned conduct (provider exit, de facto deregistration, participant reassignment, an effective “unsuitability” determination) is regulatory action the Act reserves to the Commission (ss 181E, 73ZM, 73ZN); the NDIA’s functions (s 118) do not extend to it. Acting outside conferred power is jurisdictional error.</w:t>
      </w:r>
    </w:p>
    <w:p>
      <w:pPr>
        <w:pStyle w:val="ListParagraph"/>
        <w:numPr>
          <w:ilvl w:val="0"/>
          <w:numId w:val="2"/>
        </w:numPr>
        <w:spacing w:after="100" w:line="276"/>
      </w:pPr>
      <w:r>
        <w:rPr>
          <w:b/>
          <w:bCs/>
        </w:rPr>
        <w:t xml:space="preserve">Improper purpose. </w:t>
      </w:r>
      <w:r>
        <w:t xml:space="preserve">The powers actually held by the NDIA (payments; participant management) were exercised for a purpose other than that for which they were conferred — to remove FFG and benefit competing providers — contrary to </w:t>
      </w:r>
      <w:r>
        <w:rPr>
          <w:i/>
          <w:iCs/>
        </w:rPr>
        <w:t xml:space="preserve">Padfield v Minister of Agriculture </w:t>
      </w:r>
      <w:r>
        <w:t xml:space="preserve">[1968] AC 997</w:t>
      </w:r>
      <w:r>
        <w:rPr>
          <w:b/>
          <w:bCs/>
          <w:color w:val="1F7A1F"/>
          <w:sz w:val="15"/>
          <w:szCs w:val="15"/>
        </w:rPr>
        <w:t xml:space="preserve"> [VERIFIED]</w:t>
      </w:r>
      <w:r>
        <w:t xml:space="preserve">; </w:t>
      </w:r>
      <w:r>
        <w:rPr>
          <w:i/>
          <w:iCs/>
        </w:rPr>
        <w:t xml:space="preserve">R v Toohey; Ex parte Northern Land Council </w:t>
      </w:r>
      <w:r>
        <w:t xml:space="preserve">(1981) 151 CLR 170</w:t>
      </w:r>
      <w:r>
        <w:rPr>
          <w:b/>
          <w:bCs/>
          <w:color w:val="1F7A1F"/>
          <w:sz w:val="15"/>
          <w:szCs w:val="15"/>
        </w:rPr>
        <w:t xml:space="preserve"> [VERIFIED]</w:t>
      </w:r>
      <w:r>
        <w:t xml:space="preserve">; </w:t>
      </w:r>
      <w:r>
        <w:rPr>
          <w:i/>
          <w:iCs/>
        </w:rPr>
        <w:t xml:space="preserve">Thompson v Randwick Corporation </w:t>
      </w:r>
      <w:r>
        <w:t xml:space="preserve">(1950) 81 CLR 87</w:t>
      </w:r>
      <w:r>
        <w:rPr>
          <w:b/>
          <w:bCs/>
          <w:color w:val="1F7A1F"/>
          <w:sz w:val="15"/>
          <w:szCs w:val="15"/>
        </w:rPr>
        <w:t xml:space="preserve"> [VERIFIED]</w:t>
      </w:r>
      <w:r>
        <w:t xml:space="preserve">.</w:t>
      </w:r>
    </w:p>
    <w:p>
      <w:pPr>
        <w:pStyle w:val="ListParagraph"/>
        <w:numPr>
          <w:ilvl w:val="0"/>
          <w:numId w:val="2"/>
        </w:numPr>
        <w:spacing w:after="100" w:line="276"/>
      </w:pPr>
      <w:r>
        <w:rPr>
          <w:b/>
          <w:bCs/>
        </w:rPr>
        <w:t xml:space="preserve">Procedural fairness / circumvention of statutory process. </w:t>
      </w:r>
      <w:r>
        <w:t xml:space="preserve">The conduct produced a banning/exit outcome without the opportunity to make submissions that s 73ZN requires before a banning order, denying the applicants the very process the Act guarantees. Using one body’s informal powers to achieve another body’s formal outcome, while bypassing that body’s safeguards, is an abuse of power.</w:t>
      </w:r>
    </w:p>
    <w:p>
      <w:pPr>
        <w:pStyle w:val="ListParagraph"/>
        <w:numPr>
          <w:ilvl w:val="0"/>
          <w:numId w:val="2"/>
        </w:numPr>
        <w:spacing w:after="100" w:line="276"/>
      </w:pPr>
      <w:r>
        <w:rPr>
          <w:b/>
          <w:bCs/>
        </w:rPr>
        <w:t xml:space="preserve">Legal unreasonableness (alternative). </w:t>
      </w:r>
      <w:r>
        <w:rPr>
          <w:i/>
          <w:iCs/>
        </w:rPr>
        <w:t xml:space="preserve">Minister for Immigration v Li </w:t>
      </w:r>
      <w:r>
        <w:t xml:space="preserve">(2013) 249 CLR 332</w:t>
      </w:r>
      <w:r>
        <w:rPr>
          <w:b/>
          <w:bCs/>
          <w:color w:val="1F7A1F"/>
          <w:sz w:val="15"/>
          <w:szCs w:val="15"/>
        </w:rPr>
        <w:t xml:space="preserve"> [VERIFIED]</w:t>
      </w:r>
      <w:r>
        <w:t xml:space="preserve">.</w:t>
      </w:r>
    </w:p>
    <w:p>
      <w:pPr>
        <w:pStyle w:val="ListParagraph"/>
        <w:numPr>
          <w:ilvl w:val="0"/>
          <w:numId w:val="2"/>
        </w:numPr>
        <w:spacing w:after="100" w:line="276"/>
      </w:pPr>
      <w:r>
        <w:rPr>
          <w:b/>
          <w:bCs/>
        </w:rPr>
        <w:t xml:space="preserve">Constructive failure to exercise jurisdiction (delay strand). </w:t>
      </w:r>
      <w:r>
        <w:rPr>
          <w:i/>
          <w:iCs/>
        </w:rPr>
        <w:t xml:space="preserve">Plaintiff S297/2013 </w:t>
      </w:r>
      <w:r>
        <w:t xml:space="preserve">[2014] HCA 24; (2014) 255 CLR 179</w:t>
      </w:r>
      <w:r>
        <w:rPr>
          <w:b/>
          <w:bCs/>
          <w:color w:val="B00000"/>
          <w:sz w:val="15"/>
          <w:szCs w:val="15"/>
        </w:rPr>
        <w:t xml:space="preserve"> [PIN]</w:t>
      </w:r>
      <w:r>
        <w:t xml:space="preserve">; </w:t>
      </w:r>
      <w:r>
        <w:rPr>
          <w:i/>
          <w:iCs/>
        </w:rPr>
        <w:t xml:space="preserve">Thornton v Repatriation Commission </w:t>
      </w:r>
      <w:r>
        <w:t xml:space="preserve">(1981) 52 FLR 285</w:t>
      </w:r>
      <w:r>
        <w:rPr>
          <w:b/>
          <w:bCs/>
          <w:color w:val="B00000"/>
          <w:sz w:val="15"/>
          <w:szCs w:val="15"/>
        </w:rPr>
        <w:t xml:space="preserve"> [PIN]</w:t>
      </w:r>
      <w:r>
        <w:t xml:space="preserve">.</w:t>
      </w:r>
    </w:p>
    <w:p>
      <w:pPr>
        <w:pStyle w:val="Heading1"/>
      </w:pPr>
      <w:r>
        <w:t xml:space="preserve">Part F — Material facts (the documentary spine)</w:t>
      </w:r>
    </w:p>
    <w:p>
      <w:pPr>
        <w:spacing w:after="120" w:line="276"/>
      </w:pPr>
      <w:r>
        <w:rPr>
          <w:i/>
          <w:iCs/>
        </w:rPr>
        <w:t xml:space="preserve">Anchored to the Evidence Matrix (v3, 14 June 2026); quotations verbatim from the located primary.</w:t>
      </w:r>
    </w:p>
    <w:p>
      <w:pPr>
        <w:pStyle w:val="ListParagraph"/>
        <w:numPr>
          <w:ilvl w:val="0"/>
          <w:numId w:val="3"/>
        </w:numPr>
        <w:spacing w:after="100" w:line="276"/>
      </w:pPr>
      <w:r>
        <w:rPr>
          <w:b/>
          <w:bCs/>
        </w:rPr>
        <w:t xml:space="preserve">F1.  </w:t>
      </w:r>
      <w:r>
        <w:t xml:space="preserve">The banning orders (21 Dec 2022) are contested in the ART (2023/3363, 2023/3361, 2023/4494).</w:t>
      </w:r>
    </w:p>
    <w:p>
      <w:pPr>
        <w:pStyle w:val="ListParagraph"/>
        <w:numPr>
          <w:ilvl w:val="0"/>
          <w:numId w:val="3"/>
        </w:numPr>
        <w:spacing w:after="100" w:line="276"/>
      </w:pPr>
      <w:r>
        <w:rPr>
          <w:b/>
          <w:bCs/>
        </w:rPr>
        <w:t xml:space="preserve">F2.  </w:t>
      </w:r>
      <w:r>
        <w:t xml:space="preserve">29 Sep 2022 — NDIA officer Mr Halls: “I am leading a coordinated provider exit on behalf of the NDIA” against a “provider of concern” (EM-029).</w:t>
      </w:r>
    </w:p>
    <w:p>
      <w:pPr>
        <w:pStyle w:val="ListParagraph"/>
        <w:numPr>
          <w:ilvl w:val="0"/>
          <w:numId w:val="3"/>
        </w:numPr>
        <w:spacing w:after="100" w:line="276"/>
      </w:pPr>
      <w:r>
        <w:rPr>
          <w:b/>
          <w:bCs/>
        </w:rPr>
        <w:t xml:space="preserve">F3.  </w:t>
      </w:r>
      <w:r>
        <w:t xml:space="preserve">17 Oct 2022 — NDIA delegate Mr Bhandari: FFG support coordination “cancelled”; “I have identified Diversitas WA Pty Ltd… Sukhi or Adrian… is calling to you” (EM-030).</w:t>
      </w:r>
    </w:p>
    <w:p>
      <w:pPr>
        <w:pStyle w:val="ListParagraph"/>
        <w:numPr>
          <w:ilvl w:val="0"/>
          <w:numId w:val="3"/>
        </w:numPr>
        <w:spacing w:after="100" w:line="276"/>
      </w:pPr>
      <w:r>
        <w:rPr>
          <w:b/>
          <w:bCs/>
        </w:rPr>
        <w:t xml:space="preserve">F4.  </w:t>
      </w:r>
      <w:r>
        <w:t xml:space="preserve">9–11 Oct 2022 — participant Mr Shapiera to NDIA A/State Manager (Ms Lundgren): Halls’s “abuse of power”; funding-increase and a child’s plan offered to switch providers; “SHUT UP MONEY”; acknowledged by the NDIA (EM-031).</w:t>
      </w:r>
    </w:p>
    <w:p>
      <w:pPr>
        <w:pStyle w:val="ListParagraph"/>
        <w:numPr>
          <w:ilvl w:val="0"/>
          <w:numId w:val="3"/>
        </w:numPr>
        <w:spacing w:after="100" w:line="276"/>
      </w:pPr>
      <w:r>
        <w:rPr>
          <w:b/>
          <w:bCs/>
        </w:rPr>
        <w:t xml:space="preserve">F5.  </w:t>
      </w:r>
      <w:r>
        <w:t xml:space="preserve">2022 — NDIA “compliance lock” / payment review on FFG (EM-033); “Karen” = Karen Ruth, plan manager, records clients “moved to Sukhi Tear at Diversitas” (EM-034).</w:t>
      </w:r>
    </w:p>
    <w:p>
      <w:pPr>
        <w:pStyle w:val="ListParagraph"/>
        <w:numPr>
          <w:ilvl w:val="0"/>
          <w:numId w:val="3"/>
        </w:numPr>
        <w:spacing w:after="100" w:line="276"/>
      </w:pPr>
      <w:r>
        <w:rPr>
          <w:b/>
          <w:bCs/>
        </w:rPr>
        <w:t xml:space="preserve">F6.  </w:t>
      </w:r>
      <w:r>
        <w:t xml:space="preserve">The Commission’s brief relies on NDIA material (“Project Archer” / TIR; “Provider Exit Protocol… actioned with the NDIA”) — subject to the 26 Jul 2024 non-disclosure orders.</w:t>
      </w:r>
    </w:p>
    <w:p>
      <w:pPr>
        <w:pStyle w:val="ListParagraph"/>
        <w:numPr>
          <w:ilvl w:val="0"/>
          <w:numId w:val="3"/>
        </w:numPr>
        <w:spacing w:after="100" w:line="276"/>
      </w:pPr>
      <w:r>
        <w:rPr>
          <w:b/>
          <w:bCs/>
        </w:rPr>
        <w:t xml:space="preserve">F7.  </w:t>
      </w:r>
      <w:r>
        <w:t xml:space="preserve">11 Mar 2025 — AGS: “no current criminal investigation” re Mrs Reid or FFG; AGS “does not act for the NDIA”. CDPP discontinued the charges in early 2024 (date/basis to be pinned).</w:t>
      </w:r>
    </w:p>
    <w:p>
      <w:pPr>
        <w:pStyle w:val="ListParagraph"/>
        <w:numPr>
          <w:ilvl w:val="0"/>
          <w:numId w:val="3"/>
        </w:numPr>
        <w:spacing w:after="100" w:line="276"/>
      </w:pPr>
      <w:r>
        <w:rPr>
          <w:b/>
          <w:bCs/>
        </w:rPr>
        <w:t xml:space="preserve">F8.  </w:t>
      </w:r>
      <w:r>
        <w:t xml:space="preserve">Continuing conduct — NDIA Provider Portal Lock on Hybrid Hive, 5 Jun 2026 (EM-036).</w:t>
      </w:r>
    </w:p>
    <w:p>
      <w:pPr>
        <w:pStyle w:val="ListParagraph"/>
        <w:numPr>
          <w:ilvl w:val="0"/>
          <w:numId w:val="3"/>
        </w:numPr>
        <w:spacing w:after="100" w:line="276"/>
      </w:pPr>
      <w:r>
        <w:rPr>
          <w:b/>
          <w:bCs/>
        </w:rPr>
        <w:t xml:space="preserve">F9.  </w:t>
      </w:r>
      <w:r>
        <w:t xml:space="preserve">Delay — FFG ban expired 20 Dec 2025 unheard; severance argued ~20 Mar 2026, still undecided (registry, 22 Apr &amp; 12 May 2026) (EM-035).</w:t>
      </w:r>
    </w:p>
    <w:p>
      <w:pPr>
        <w:pStyle w:val="Heading1"/>
      </w:pPr>
      <w:r>
        <w:t xml:space="preserve">Part G — The continuing-conduct answer to time</w:t>
      </w:r>
    </w:p>
    <w:p>
      <w:pPr>
        <w:spacing w:after="120" w:line="276"/>
      </w:pPr>
      <w:r>
        <w:t xml:space="preserve">JR of 2022 conduct begun in 2026 faces a delay bar; it is answered, not ignored: (i) the conduct is a continuing course (2022 exit/reallocation → the orders → NDIA contact through 2024 → the 5 June 2026 portal lock); (ii) lead with declarations and any in-time decision; (iii) for the historic conduct, rely on declarations and the misfeasance/damages route (</w:t>
      </w:r>
      <w:r>
        <w:rPr>
          <w:i/>
          <w:iCs/>
        </w:rPr>
        <w:t xml:space="preserve">Northern Territory v Mengel </w:t>
      </w:r>
      <w:r>
        <w:t xml:space="preserve">(1995) 185 CLR 307</w:t>
      </w:r>
      <w:r>
        <w:rPr>
          <w:b/>
          <w:bCs/>
          <w:color w:val="1F7A1F"/>
          <w:sz w:val="15"/>
          <w:szCs w:val="15"/>
        </w:rPr>
        <w:t xml:space="preserve"> [VERIFIED]</w:t>
      </w:r>
      <w:r>
        <w:t xml:space="preserve">; </w:t>
      </w:r>
      <w:r>
        <w:rPr>
          <w:i/>
          <w:iCs/>
        </w:rPr>
        <w:t xml:space="preserve">Sanders v Snell </w:t>
      </w:r>
      <w:r>
        <w:t xml:space="preserve">(1998) 196 CLR 329</w:t>
      </w:r>
      <w:r>
        <w:rPr>
          <w:b/>
          <w:bCs/>
          <w:color w:val="1F7A1F"/>
          <w:sz w:val="15"/>
          <w:szCs w:val="15"/>
        </w:rPr>
        <w:t xml:space="preserve"> [VERIFIED]</w:t>
      </w:r>
      <w:r>
        <w:t xml:space="preserve">); </w:t>
      </w:r>
      <w:r>
        <w:rPr>
          <w:b/>
          <w:bCs/>
        </w:rPr>
        <w:t xml:space="preserve">confirm and diarise the misfeasance limitation position now (≈6 years from 2022).</w:t>
      </w:r>
    </w:p>
    <w:p>
      <w:pPr>
        <w:pStyle w:val="Heading1"/>
      </w:pPr>
      <w:r>
        <w:t xml:space="preserve">Part H — The delay / mandamus strand</w:t>
      </w:r>
    </w:p>
    <w:p>
      <w:pPr>
        <w:spacing w:after="120" w:line="276"/>
      </w:pPr>
      <w:r>
        <w:t xml:space="preserve">Mandamus under s 39B to compel the Tribunal to determine severance and list the matters: members are officers of the Commonwealth (</w:t>
      </w:r>
      <w:r>
        <w:rPr>
          <w:i/>
          <w:iCs/>
        </w:rPr>
        <w:t xml:space="preserve">Constitution </w:t>
      </w:r>
      <w:r>
        <w:t xml:space="preserve">s 75(v)</w:t>
      </w:r>
      <w:r>
        <w:rPr>
          <w:b/>
          <w:bCs/>
          <w:color w:val="1F7A1F"/>
          <w:sz w:val="15"/>
          <w:szCs w:val="15"/>
        </w:rPr>
        <w:t xml:space="preserve"> [VERIFIED]</w:t>
      </w:r>
      <w:r>
        <w:t xml:space="preserve">); the writs are discretionary (</w:t>
      </w:r>
      <w:r>
        <w:rPr>
          <w:i/>
          <w:iCs/>
        </w:rPr>
        <w:t xml:space="preserve">Re RRT; Ex parte Aala </w:t>
      </w:r>
      <w:r>
        <w:t xml:space="preserve">(2000) 204 CLR 82</w:t>
      </w:r>
      <w:r>
        <w:rPr>
          <w:b/>
          <w:bCs/>
          <w:color w:val="1F7A1F"/>
          <w:sz w:val="15"/>
          <w:szCs w:val="15"/>
        </w:rPr>
        <w:t xml:space="preserve"> [VERIFIED]</w:t>
      </w:r>
      <w:r>
        <w:t xml:space="preserve">; </w:t>
      </w:r>
      <w:r>
        <w:rPr>
          <w:i/>
          <w:iCs/>
        </w:rPr>
        <w:t xml:space="preserve">Ex parte Ozone Theatres </w:t>
      </w:r>
      <w:r>
        <w:t xml:space="preserve">(1949) 78 CLR 389</w:t>
      </w:r>
      <w:r>
        <w:rPr>
          <w:b/>
          <w:bCs/>
          <w:color w:val="1F7A1F"/>
          <w:sz w:val="15"/>
          <w:szCs w:val="15"/>
        </w:rPr>
        <w:t xml:space="preserve"> [VERIFIED]</w:t>
      </w:r>
      <w:r>
        <w:t xml:space="preserve">); the chronology is in B.2. A backstop, after the on-the-record expedition request; preserve </w:t>
      </w:r>
      <w:r>
        <w:rPr>
          <w:i/>
          <w:iCs/>
        </w:rPr>
        <w:t xml:space="preserve">NAIS </w:t>
      </w:r>
      <w:r>
        <w:t xml:space="preserve">(2005) 228 CLR 470</w:t>
      </w:r>
      <w:r>
        <w:rPr>
          <w:b/>
          <w:bCs/>
          <w:color w:val="1F7A1F"/>
          <w:sz w:val="15"/>
          <w:szCs w:val="15"/>
        </w:rPr>
        <w:t xml:space="preserve"> [VERIFIED]</w:t>
      </w:r>
      <w:r>
        <w:t xml:space="preserve"> against any adverse post-delay decision.</w:t>
      </w:r>
    </w:p>
    <w:p>
      <w:pPr>
        <w:pStyle w:val="Heading1"/>
      </w:pPr>
      <w:r>
        <w:t xml:space="preserve">Part I — Anticipated respondent defences, and the answers</w:t>
      </w:r>
    </w:p>
    <w:p>
      <w:pPr>
        <w:spacing w:after="120" w:line="276"/>
      </w:pPr>
      <w:r>
        <w:rPr>
          <w:i/>
          <w:iCs/>
        </w:rPr>
        <w:t xml:space="preserve">The left column is the NDIA’s likely defence; the right is the answer. The recurring theme: every shield turns on purpose or authorisation, and there is no good-faith immunity to fall back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NDIA’s likely defence</w:t>
            </w:r>
          </w:p>
        </w:tc>
        <w:tc>
          <w:tcPr>
            <w:tcW w:type="dxa" w:w="5726"/>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The answer</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“s 118 authorised it — fraud response, financial sustainability, safeguarding.”</w:t>
            </w:r>
          </w:p>
        </w:tc>
        <w:tc>
          <w:tcPr>
            <w:tcW w:type="dxa" w:w="5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s 118(1)(ba) is confined to “claims for payment, the payment of NDIS amounts or the use of funding” — payment integrity, not provider banning. Banning, “unsuitability”, exit and market oversight are ss 181E / 73ZM / 73ZN — the Commission. The NDIA cannot relabel a regulatory act as payment integrity (Padfield).</w:t>
            </w:r>
          </w:p>
        </w:tc>
      </w:tr>
      <w:tr>
        <w:tc>
          <w:tcPr>
            <w:tcW w:type="dxa" w:w="33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“It was a routine payment review / compliance lock.”</w:t>
            </w:r>
          </w:p>
        </w:tc>
        <w:tc>
          <w:tcPr>
            <w:tcW w:type="dxa" w:w="57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A lock on specific dubious claims may be within power; a “coordinated provider exit” and the reassignment of all participants is de facto deregistration and exceeds any payment-integrity rationale.</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“Participant safeguarding / choice (s 118(1)(a)(v)).”</w:t>
            </w:r>
          </w:p>
        </w:tc>
        <w:tc>
          <w:tcPr>
            <w:tcW w:type="dxa" w:w="5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Safeguarding is balanced against choice; here choice was overridden by direction and inducement (EM-030, EM-031). Managing provider withdrawal to protect participants is itself the Commission’s market-oversight function (s 181E(i)). Inducements (“shut up money”; a child’s plan) are not safeguarding.</w:t>
            </w:r>
          </w:p>
        </w:tc>
      </w:tr>
      <w:tr>
        <w:tc>
          <w:tcPr>
            <w:tcW w:type="dxa" w:w="33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“Information-sharing with the Commission was authorised (ss 66–67A).”</w:t>
            </w:r>
          </w:p>
        </w:tc>
        <w:tc>
          <w:tcPr>
            <w:tcW w:type="dxa" w:w="57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Sharing may be authorised; that does not authorise the underlying exit/reassignment, and authorised sharing of improperly-purposed material does not cleanse the taint.</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“These were not reviewable decisions; the avenue is internal review + ART (ss 99–103).”</w:t>
            </w:r>
          </w:p>
        </w:tc>
        <w:tc>
          <w:tcPr>
            <w:tcW w:type="dxa" w:w="5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Precisely — the conduct was not a reviewable decision and gave no review, which is why s 39B and declarations are the only avenue, and why the conduct denied the protections the Commission’s regime builds in. Channelling presupposes a decision within the regime; there was none.</w:t>
            </w:r>
          </w:p>
        </w:tc>
      </w:tr>
      <w:tr>
        <w:tc>
          <w:tcPr>
            <w:tcW w:type="dxa" w:w="33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“Operational conduct — not justiciable / not under an enactment.”</w:t>
            </w:r>
          </w:p>
        </w:tc>
        <w:tc>
          <w:tcPr>
            <w:tcW w:type="dxa" w:w="57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s 39B reaches an officer’s conduct; want of power and improper purpose are justiciable; misfeasance reaches conduct regardless of whether it was a formal “decision”.</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“Good-faith immunity.”</w:t>
            </w:r>
          </w:p>
        </w:tc>
        <w:tc>
          <w:tcPr>
            <w:tcW w:type="dxa" w:w="5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There is none for NDIA officers in the Act — ss 198–199 protect only nominees acting under s 74. No statutory shield; misfeasance is not barred.</w:t>
            </w:r>
          </w:p>
        </w:tc>
      </w:tr>
      <w:tr>
        <w:tc>
          <w:tcPr>
            <w:tcW w:type="dxa" w:w="33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“Delay / discretion / it is all spent 2022 conduct.”</w:t>
            </w:r>
          </w:p>
        </w:tc>
        <w:tc>
          <w:tcPr>
            <w:tcW w:type="dxa" w:w="57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Continuing conduct to 5 Jun 2026; declarations; misfeasance limitation preserved (Part G). The want of power is anterior and is not cured by the passage of time.</w:t>
            </w:r>
          </w:p>
        </w:tc>
      </w:tr>
      <w:tr>
        <w:tc>
          <w:tcPr>
            <w:tcW w:type="dxa" w:w="3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“The Commission’s later orders validate the concerns.”</w:t>
            </w:r>
          </w:p>
        </w:tc>
        <w:tc>
          <w:tcPr>
            <w:tcW w:type="dxa" w:w="57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Post hoc — they cannot retrospectively authorise the NDIA’s earlier conduct; and the Commission’s own reasons pegged the ban to an unresolved criminal process, not to any finding justifying the September–October acts.</w:t>
            </w:r>
          </w:p>
        </w:tc>
      </w:tr>
    </w:tbl>
    <w:p>
      <w:pPr>
        <w:pStyle w:val="Heading1"/>
      </w:pPr>
      <w:r>
        <w:t xml:space="preserve">Part J — Matters counsel must settle before filing</w:t>
      </w:r>
    </w:p>
    <w:p>
      <w:pPr>
        <w:pStyle w:val="ListParagraph"/>
        <w:numPr>
          <w:ilvl w:val="0"/>
          <w:numId w:val="4"/>
        </w:numPr>
        <w:spacing w:after="100" w:line="276"/>
      </w:pPr>
      <w:r>
        <w:t xml:space="preserve">Respondent identity/structure (CEO/NDIA/Commonwealth; the Tribunal for the delay strand); one proceeding or two.</w:t>
      </w:r>
    </w:p>
    <w:p>
      <w:pPr>
        <w:pStyle w:val="ListParagraph"/>
        <w:numPr>
          <w:ilvl w:val="0"/>
          <w:numId w:val="4"/>
        </w:numPr>
        <w:spacing w:after="100" w:line="276"/>
      </w:pPr>
      <w:r>
        <w:t xml:space="preserve">Pin the exact provisions and dates: s 73ZN subsection on prior submissions; the registration-revocation section; the precise WA commencement instrument (1 Dec 2020); FFG’s registered/unregistered status (the banning/exit analysis holds either way, but confirm).</w:t>
      </w:r>
    </w:p>
    <w:p>
      <w:pPr>
        <w:pStyle w:val="ListParagraph"/>
        <w:numPr>
          <w:ilvl w:val="0"/>
          <w:numId w:val="4"/>
        </w:numPr>
        <w:spacing w:after="100" w:line="276"/>
      </w:pPr>
      <w:r>
        <w:t xml:space="preserve">The reviewable acts — identify each; lead s 39B; ADJR contingent.</w:t>
      </w:r>
    </w:p>
    <w:p>
      <w:pPr>
        <w:pStyle w:val="ListParagraph"/>
        <w:numPr>
          <w:ilvl w:val="0"/>
          <w:numId w:val="4"/>
        </w:numPr>
        <w:spacing w:after="100" w:line="276"/>
      </w:pPr>
      <w:r>
        <w:t xml:space="preserve">Time — confirm which acts are in time; confirm the misfeasance limitation position.</w:t>
      </w:r>
    </w:p>
    <w:p>
      <w:pPr>
        <w:pStyle w:val="ListParagraph"/>
        <w:numPr>
          <w:ilvl w:val="0"/>
          <w:numId w:val="4"/>
        </w:numPr>
        <w:spacing w:after="100" w:line="276"/>
      </w:pPr>
      <w:r>
        <w:t xml:space="preserve">The 26 July 2024 non-disclosure orders over Project Archer / the TIR — move to discharge or qualify first.</w:t>
      </w:r>
    </w:p>
    <w:p>
      <w:pPr>
        <w:pStyle w:val="ListParagraph"/>
        <w:numPr>
          <w:ilvl w:val="0"/>
          <w:numId w:val="4"/>
        </w:numPr>
        <w:spacing w:after="100" w:line="276"/>
      </w:pPr>
      <w:r>
        <w:t xml:space="preserve">Forum and costs (Federal Court vs FCFCOA; costs follow the event).</w:t>
      </w:r>
    </w:p>
    <w:p>
      <w:pPr>
        <w:pStyle w:val="ListParagraph"/>
        <w:numPr>
          <w:ilvl w:val="0"/>
          <w:numId w:val="4"/>
        </w:numPr>
        <w:spacing w:after="100" w:line="276"/>
      </w:pPr>
      <w:r>
        <w:t xml:space="preserve">Verification — pin every [PIN]; the CDPP discontinuance date/basis; secure Mr Shapiera’s signed statement (perishable). Do not assert unverified items as fact.</w:t>
      </w:r>
    </w:p>
    <w:p>
      <w:pPr>
        <w:spacing w:after="120" w:line="276"/>
      </w:pPr>
      <w:r>
        <w:rPr>
          <w:b/>
          <w:bCs/>
        </w:rPr>
        <w:t xml:space="preserve">Companion note. </w:t>
      </w:r>
      <w:r>
        <w:t xml:space="preserve">The constitutional dimension of the coordinated multi-agency conduct (Fraud Fusion Taskforce; CDPP, ABF, AFP, ATO) is assessed separately in “Constitutional_Assessment_MultiAgency_FraudFusion_14_June_2026”, which should be read with this application.</w:t>
      </w:r>
    </w:p>
    <w:p>
      <w:pPr>
        <w:pStyle w:val="Heading1"/>
      </w:pPr>
      <w:r>
        <w:t xml:space="preserve">Authorities — quick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4126"/>
        <w:gridCol w:w="1500"/>
      </w:tblGrid>
      <w:tr>
        <w:trPr>
          <w:tblHeader/>
        </w:trPr>
        <w:tc>
          <w:tcPr>
            <w:tcW w:type="dxa" w:w="34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Authority</w:t>
            </w:r>
          </w:p>
        </w:tc>
        <w:tc>
          <w:tcPr>
            <w:tcW w:type="dxa" w:w="4126"/>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Proposition</w:t>
            </w:r>
          </w:p>
        </w:tc>
        <w:tc>
          <w:tcPr>
            <w:tcW w:type="dxa" w:w="15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pPr>
              <w:spacing w:after="0"/>
            </w:pPr>
            <w:r>
              <w:rPr>
                <w:b/>
                <w:bCs/>
                <w:color w:val="FFFFFF"/>
                <w:sz w:val="16"/>
                <w:szCs w:val="16"/>
              </w:rPr>
              <w:t xml:space="preserve">Status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NDIS Act s 118</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NDIA functions: delivery, payments, financial sustainability, payment-linked fraud response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VERIFIED</w:t>
            </w:r>
          </w:p>
        </w:tc>
      </w:tr>
      <w:tr>
        <w:tc>
          <w:tcPr>
            <w:tcW w:type="dxa" w:w="34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NDIS Act s 181E</w:t>
            </w:r>
          </w:p>
        </w:tc>
        <w:tc>
          <w:tcPr>
            <w:tcW w:type="dxa" w:w="41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Commissioner’s core functions: compliance/enforcement; market oversight incl. unplanned service withdrawal</w:t>
            </w:r>
          </w:p>
        </w:tc>
        <w:tc>
          <w:tcPr>
            <w:tcW w:type="dxa" w:w="1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VERIFIED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NDIS Act s 73ZN</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Commissioner makes banning orders, after an opportunity to make submissions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VERIFIED (pin subsection)</w:t>
            </w:r>
          </w:p>
        </w:tc>
      </w:tr>
      <w:tr>
        <w:tc>
          <w:tcPr>
            <w:tcW w:type="dxa" w:w="34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NDIS Act ss 73ZM / 73ZS</w:t>
            </w:r>
          </w:p>
        </w:tc>
        <w:tc>
          <w:tcPr>
            <w:tcW w:type="dxa" w:w="41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Commission compliance notices; NDIS Provider Register</w:t>
            </w:r>
          </w:p>
        </w:tc>
        <w:tc>
          <w:tcPr>
            <w:tcW w:type="dxa" w:w="1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VERIFIED (titles)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Padfield [1968] AC 997</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Power for an extraneous purpose is invalid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VERIFIED</w:t>
            </w:r>
          </w:p>
        </w:tc>
      </w:tr>
      <w:tr>
        <w:tc>
          <w:tcPr>
            <w:tcW w:type="dxa" w:w="34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R v Toohey (1981) 151 CLR 170</w:t>
            </w:r>
          </w:p>
        </w:tc>
        <w:tc>
          <w:tcPr>
            <w:tcW w:type="dxa" w:w="41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Improper purpose reviewable</w:t>
            </w:r>
          </w:p>
        </w:tc>
        <w:tc>
          <w:tcPr>
            <w:tcW w:type="dxa" w:w="1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VERIFIED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Thompson v Randwick Corporation (1950) 81 CLR 87</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“Substantial purpose” test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VERIFIED</w:t>
            </w:r>
          </w:p>
        </w:tc>
      </w:tr>
      <w:tr>
        <w:tc>
          <w:tcPr>
            <w:tcW w:type="dxa" w:w="34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Li (2013) 249 CLR 332</w:t>
            </w:r>
          </w:p>
        </w:tc>
        <w:tc>
          <w:tcPr>
            <w:tcW w:type="dxa" w:w="41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Legal unreasonableness</w:t>
            </w:r>
          </w:p>
        </w:tc>
        <w:tc>
          <w:tcPr>
            <w:tcW w:type="dxa" w:w="1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VERIFIED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Mengel (1995) 185 CLR 307; Sanders v Snell (1998) 196 CLR 329</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Misfeasance in public office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VERIFIED</w:t>
            </w:r>
          </w:p>
        </w:tc>
      </w:tr>
      <w:tr>
        <w:tc>
          <w:tcPr>
            <w:tcW w:type="dxa" w:w="34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Aala (2000) 204 CLR 82; Ozone Theatres (1949) 78 CLR 389</w:t>
            </w:r>
          </w:p>
        </w:tc>
        <w:tc>
          <w:tcPr>
            <w:tcW w:type="dxa" w:w="4126"/>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Writs discretionary; discretionary bars</w:t>
            </w:r>
          </w:p>
        </w:tc>
        <w:tc>
          <w:tcPr>
            <w:tcW w:type="dxa" w:w="1500"/>
            <w:tcBorders>
              <w:top w:val="single" w:color="BFBFBF" w:sz="1"/>
              <w:left w:val="single" w:color="BFBFBF" w:sz="1"/>
              <w:bottom w:val="single" w:color="BFBFBF" w:sz="1"/>
              <w:right w:val="single" w:color="BFBFBF" w:sz="1"/>
            </w:tcBorders>
            <w:shd w:fill="EEF3F9" w:val="clear"/>
            <w:tcMar>
              <w:top w:type="dxa" w:w="60"/>
              <w:left w:type="dxa" w:w="100"/>
              <w:bottom w:type="dxa" w:w="60"/>
              <w:right w:type="dxa" w:w="100"/>
            </w:tcMar>
          </w:tcPr>
          <w:p>
            <w:pPr>
              <w:spacing w:after="0"/>
            </w:pPr>
            <w:r>
              <w:rPr>
                <w:b w:val="false"/>
                <w:bCs w:val="false"/>
                <w:color w:val="000000"/>
                <w:sz w:val="15"/>
                <w:szCs w:val="15"/>
              </w:rPr>
              <w:t xml:space="preserve">VERIFIED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S297/2013 [2014] HCA 24; Thornton (1981) 52 FLR 285</w:t>
            </w:r>
          </w:p>
        </w:tc>
        <w:tc>
          <w:tcPr>
            <w:tcW w:type="dxa" w:w="412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Duty to decide within a reasonable time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b w:val="false"/>
                <w:bCs w:val="false"/>
                <w:color w:val="000000"/>
                <w:sz w:val="15"/>
                <w:szCs w:val="15"/>
              </w:rPr>
              <w:t xml:space="preserve">PIN</w:t>
            </w:r>
          </w:p>
        </w:tc>
      </w:tr>
    </w:tbl>
    <w:p>
      <w:pPr>
        <w:spacing w:before="180"/>
      </w:pPr>
      <w:r>
        <w:rPr>
          <w:b/>
          <w:bCs/>
        </w:rPr>
        <w:t xml:space="preserve">Dated: </w:t>
      </w:r>
      <w:r>
        <w:t xml:space="preserve">14 June 2026.   Prepared to brief counsel; for settling by counsel before any filing.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Reid v NDIA — Originating Application (working draft v3, 14 June 2026) — not for filing — page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8"/>
      <w:sz w:val="25"/>
      <w:szCs w:val="25"/>
    </w:rPr>
  </w:style>
  <w:style w:type="paragraph" w:styleId="Heading2">
    <w:name w:val="Heading 2"/>
    <w:basedOn w:val="Normal"/>
    <w:next w:val="Normal"/>
    <w:qFormat/>
    <w:pPr>
      <w:spacing w:after="90" w:before="140"/>
      <w:outlineLvl w:val="1"/>
    </w:pPr>
    <w:rPr>
      <w:rFonts w:ascii="Arial" w:cs="Arial" w:eastAsia="Arial" w:hAnsi="Arial"/>
      <w:b/>
      <w:bCs/>
      <w:color w:val="2E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2026-06-14T07:27:48.506Z</dcterms:created>
  <dcterms:modified xsi:type="dcterms:W3CDTF">2026-06-14T07:27:48.507Z</dcterms:modified>
</cp:coreProperties>
</file>

<file path=docProps/custom.xml><?xml version="1.0" encoding="utf-8"?>
<Properties xmlns="http://schemas.openxmlformats.org/officeDocument/2006/custom-properties" xmlns:vt="http://schemas.openxmlformats.org/officeDocument/2006/docPropsVTypes"/>
</file>