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6"/>
          <w:szCs w:val="26"/>
        </w:rPr>
        <w:t xml:space="preserve">FEDERAL COURT OF AUSTRALIA</w:t>
      </w:r>
    </w:p>
    <w:p>
      <w:pPr>
        <w:spacing w:after="60"/>
        <w:jc w:val="center"/>
      </w:pPr>
      <w:r>
        <w:rPr>
          <w:rFonts w:ascii="Arial" w:cs="Arial" w:eastAsia="Arial" w:hAnsi="Arial"/>
          <w:sz w:val="18"/>
          <w:szCs w:val="18"/>
        </w:rPr>
        <w:t xml:space="preserve">[  ] District Registry  ·  General Division  ·  Administrative &amp; Constitutional Law and Human Rights NPA</w:t>
      </w:r>
    </w:p>
    <w:p>
      <w:pPr>
        <w:spacing w:after="140"/>
        <w:jc w:val="center"/>
      </w:pPr>
      <w:r>
        <w:rPr>
          <w:rFonts w:ascii="Arial" w:cs="Arial" w:eastAsia="Arial" w:hAnsi="Arial"/>
          <w:sz w:val="18"/>
          <w:szCs w:val="18"/>
        </w:rPr>
        <w:t xml:space="preserve">No.            of 2026</w:t>
      </w:r>
    </w:p>
    <w:p>
      <w:pPr>
        <w:spacing w:after="20"/>
        <w:jc w:val="center"/>
      </w:pPr>
      <w:r>
        <w:rPr>
          <w:rFonts w:ascii="Arial" w:cs="Arial" w:eastAsia="Arial" w:hAnsi="Arial"/>
          <w:b/>
          <w:bCs/>
        </w:rPr>
        <w:t xml:space="preserve">BETWEEN:</w:t>
      </w:r>
    </w:p>
    <w:p>
      <w:pPr>
        <w:spacing w:after="60"/>
        <w:jc w:val="center"/>
      </w:pPr>
      <w:r>
        <w:rPr>
          <w:rFonts w:ascii="Arial" w:cs="Arial" w:eastAsia="Arial" w:hAnsi="Arial"/>
        </w:rPr>
        <w:t xml:space="preserve">SIMON REID (First Applicant); VIDA REID (Second Applicant);</w:t>
      </w:r>
    </w:p>
    <w:p>
      <w:pPr>
        <w:spacing w:after="60"/>
        <w:jc w:val="center"/>
      </w:pPr>
      <w:r>
        <w:rPr>
          <w:rFonts w:ascii="Arial" w:cs="Arial" w:eastAsia="Arial" w:hAnsi="Arial"/>
        </w:rPr>
        <w:t xml:space="preserve">FORWARD FOCUSED GROUP PTY LTD (Third Applicant)</w:t>
      </w:r>
    </w:p>
    <w:p>
      <w:pPr>
        <w:spacing w:after="20"/>
        <w:jc w:val="center"/>
      </w:pPr>
      <w:r>
        <w:rPr>
          <w:rFonts w:ascii="Arial" w:cs="Arial" w:eastAsia="Arial" w:hAnsi="Arial"/>
          <w:b/>
          <w:bCs/>
        </w:rPr>
        <w:t xml:space="preserve">AND:</w:t>
      </w:r>
    </w:p>
    <w:p>
      <w:pPr>
        <w:spacing w:after="60"/>
        <w:jc w:val="center"/>
      </w:pPr>
      <w:r>
        <w:rPr>
          <w:rFonts w:ascii="Arial" w:cs="Arial" w:eastAsia="Arial" w:hAnsi="Arial"/>
        </w:rPr>
        <w:t xml:space="preserve">CHIEF EXECUTIVE OFFICER, NATIONAL DISABILITY INSURANCE AGENCY (First Respondent);</w:t>
      </w:r>
    </w:p>
    <w:p>
      <w:pPr>
        <w:spacing w:after="60"/>
        <w:jc w:val="center"/>
      </w:pPr>
      <w:r>
        <w:rPr>
          <w:rFonts w:ascii="Arial" w:cs="Arial" w:eastAsia="Arial" w:hAnsi="Arial"/>
        </w:rPr>
        <w:t xml:space="preserve">NATIONAL DISABILITY INSURANCE AGENCY (Second Respondent);</w:t>
      </w:r>
    </w:p>
    <w:p>
      <w:pPr>
        <w:spacing w:after="140"/>
        <w:jc w:val="center"/>
      </w:pPr>
      <w:r>
        <w:rPr>
          <w:rFonts w:ascii="Arial" w:cs="Arial" w:eastAsia="Arial" w:hAnsi="Arial"/>
        </w:rPr>
        <w:t xml:space="preserve">[and, on the delay/mandamus strand, the ADMINISTRATIVE REVIEW TRIBUNAL — respondent identity to be settled]</w:t>
      </w:r>
    </w:p>
    <w:p>
      <w:pPr>
        <w:pBdr>
          <w:bottom w:val="single" w:color="888888" w:sz="6" w:space="1"/>
        </w:pBdr>
        <w:spacing w:after="140"/>
      </w:pPr>
      <w:r>
        <w:rPr>
          <w:rFonts w:ascii="Arial" w:cs="Arial" w:eastAsia="Arial" w:hAnsi="Arial"/>
        </w:rPr>
        <w:t xml:space="preserve"/>
      </w:r>
    </w:p>
    <w:p>
      <w:pPr>
        <w:spacing w:after="60"/>
        <w:jc w:val="center"/>
      </w:pPr>
      <w:r>
        <w:rPr>
          <w:rFonts w:ascii="Arial" w:cs="Arial" w:eastAsia="Arial" w:hAnsi="Arial"/>
          <w:b/>
          <w:bCs/>
          <w:sz w:val="24"/>
          <w:szCs w:val="24"/>
        </w:rPr>
        <w:t xml:space="preserve">ORIGINATING APPLICATION FOR JUDICIAL REVIEW</w:t>
      </w:r>
    </w:p>
    <w:p>
      <w:pPr>
        <w:spacing w:after="140"/>
        <w:jc w:val="center"/>
      </w:pPr>
      <w:r>
        <w:rPr>
          <w:rFonts w:ascii="Arial" w:cs="Arial" w:eastAsia="Arial" w:hAnsi="Arial"/>
          <w:i/>
          <w:iCs/>
          <w:sz w:val="18"/>
          <w:szCs w:val="18"/>
        </w:rPr>
        <w:t xml:space="preserve">(first-draft skeleton — heads of relief, grounds and material facts to brief counsel)</w:t>
      </w:r>
    </w:p>
    <w:p>
      <w:pPr>
        <w:pBdr>
          <w:bottom w:val="single" w:color="888888" w:sz="6" w:space="1"/>
        </w:pBdr>
        <w:spacing w:after="140"/>
      </w:pPr>
      <w:r>
        <w:rPr>
          <w:rFonts w:ascii="Arial" w:cs="Arial" w:eastAsia="Arial" w:hAnsi="Arial"/>
        </w:rPr>
        <w:t xml:space="preserve"/>
      </w:r>
    </w:p>
    <w:p>
      <w:pPr>
        <w:spacing w:after="140" w:line="276"/>
      </w:pPr>
      <w:r>
        <w:rPr>
          <w:rFonts w:ascii="Arial" w:cs="Arial" w:eastAsia="Arial" w:hAnsi="Arial"/>
          <w:b/>
          <w:bCs/>
        </w:rPr>
        <w:t xml:space="preserve">Status and caveat.  </w:t>
      </w:r>
      <w:r>
        <w:rPr>
          <w:rFonts w:ascii="Arial" w:cs="Arial" w:eastAsia="Arial" w:hAnsi="Arial"/>
        </w:rPr>
        <w:t xml:space="preserve">This is a first-draft skeleton prepared to brief counsel; it is not a settled pleading and is not for filing. Square-bracketed items are placeholders. Authorities are tagged [PIN] and must be confirmed against the primary report. Part E lists the matters counsel must settle before anything is filed — several are significant. Nothing in this document concedes any fraud or wrongdoing by any applicant or associated entity; the Commission's case is contested in its entirety.</w:t>
      </w:r>
    </w:p>
    <w:p>
      <w:pPr>
        <w:pBdr>
          <w:bottom w:val="single" w:color="888888" w:sz="6" w:space="1"/>
        </w:pBdr>
        <w:spacing w:after="140"/>
      </w:pPr>
      <w:r>
        <w:rPr>
          <w:rFonts w:ascii="Arial" w:cs="Arial" w:eastAsia="Arial" w:hAnsi="Arial"/>
        </w:rPr>
        <w:t xml:space="preserve"/>
      </w:r>
    </w:p>
    <w:p>
      <w:pPr>
        <w:pStyle w:val="Heading1"/>
      </w:pPr>
      <w:r>
        <w:t xml:space="preserve">Part A — Jurisdiction invoked</w:t>
      </w:r>
    </w:p>
    <w:p>
      <w:pPr>
        <w:spacing w:after="140" w:line="276"/>
      </w:pPr>
      <w:r>
        <w:rPr>
          <w:rFonts w:ascii="Arial" w:cs="Arial" w:eastAsia="Arial" w:hAnsi="Arial"/>
        </w:rPr>
        <w:t xml:space="preserve">The applicants invoke the original jurisdiction of the Court under s 39B(1) and s 39B(1A)(c) of the Judiciary Act 1903 (Cth) (mandamus, prohibition or an injunction against an officer of the Commonwealth, and matters arising under a law made by the Parliament), and s 23 of the Federal Court of Australia Act 1976 (Cth). In the alternative, and to the extent the impugned acts are decisions of an administrative character made under an enactment, review is sought under the Administrative Decisions (Judicial Review) Act 1977 (Cth) [PIN — the “under an enactment” question must be resolved; s 39B is the safer anchor].</w:t>
      </w:r>
    </w:p>
    <w:p>
      <w:pPr>
        <w:pStyle w:val="Heading1"/>
      </w:pPr>
      <w:r>
        <w:t xml:space="preserve">Part B — Relief sought</w:t>
      </w:r>
    </w:p>
    <w:p>
      <w:pPr>
        <w:pStyle w:val="ListParagraph"/>
        <w:numPr>
          <w:ilvl w:val="0"/>
          <w:numId w:val="2"/>
        </w:numPr>
        <w:spacing w:after="120" w:line="276"/>
      </w:pPr>
      <w:r>
        <w:rPr>
          <w:rFonts w:ascii="Arial" w:cs="Arial" w:eastAsia="Arial" w:hAnsi="Arial"/>
          <w:b/>
          <w:bCs/>
        </w:rPr>
        <w:t xml:space="preserve">Against the NDIA respondents:  </w:t>
      </w:r>
      <w:r>
        <w:rPr>
          <w:rFonts w:ascii="Arial" w:cs="Arial" w:eastAsia="Arial" w:hAnsi="Arial"/>
        </w:rPr>
        <w:t xml:space="preserve">A declaration that the decision or direction to procure the freezing or cessation of payments to the Third Applicant was made for a purpose other than a purpose for which the relevant power was conferred, and was beyond power.</w:t>
      </w:r>
    </w:p>
    <w:p>
      <w:pPr>
        <w:pStyle w:val="ListParagraph"/>
        <w:numPr>
          <w:ilvl w:val="0"/>
          <w:numId w:val="2"/>
        </w:numPr>
        <w:spacing w:after="120" w:line="276"/>
      </w:pPr>
      <w:r>
        <w:rPr>
          <w:rFonts w:ascii="Arial" w:cs="Arial" w:eastAsia="Arial" w:hAnsi="Arial"/>
        </w:rPr>
        <w:t xml:space="preserve">A declaration that the conduct of reallocating the Third Applicant's participants to competing providers (by “request for service” or otherwise) was engaged in for an improper purpose and/or beyond power.</w:t>
      </w:r>
    </w:p>
    <w:p>
      <w:pPr>
        <w:pStyle w:val="ListParagraph"/>
        <w:numPr>
          <w:ilvl w:val="0"/>
          <w:numId w:val="2"/>
        </w:numPr>
        <w:spacing w:after="120" w:line="276"/>
      </w:pPr>
      <w:r>
        <w:rPr>
          <w:rFonts w:ascii="Arial" w:cs="Arial" w:eastAsia="Arial" w:hAnsi="Arial"/>
        </w:rPr>
        <w:t xml:space="preserve">An order in the nature of certiorari quashing [each reviewable decision to be identified], to the extent available.</w:t>
      </w:r>
    </w:p>
    <w:p>
      <w:pPr>
        <w:pStyle w:val="ListParagraph"/>
        <w:numPr>
          <w:ilvl w:val="0"/>
          <w:numId w:val="2"/>
        </w:numPr>
        <w:spacing w:after="120" w:line="276"/>
      </w:pPr>
      <w:r>
        <w:rPr>
          <w:rFonts w:ascii="Arial" w:cs="Arial" w:eastAsia="Arial" w:hAnsi="Arial"/>
        </w:rPr>
        <w:t xml:space="preserve">An injunction restraining the respondents from relying upon, and/or requiring the correction of records derived from, the impugned conduct [as appropriate].</w:t>
      </w:r>
    </w:p>
    <w:p>
      <w:pPr>
        <w:pStyle w:val="ListParagraph"/>
        <w:numPr>
          <w:ilvl w:val="0"/>
          <w:numId w:val="2"/>
        </w:numPr>
        <w:spacing w:after="120" w:line="276"/>
      </w:pPr>
      <w:r>
        <w:rPr>
          <w:rFonts w:ascii="Arial" w:cs="Arial" w:eastAsia="Arial" w:hAnsi="Arial"/>
          <w:b/>
          <w:bCs/>
        </w:rPr>
        <w:t xml:space="preserve">In the alternative / related strand (delay):  </w:t>
      </w:r>
      <w:r>
        <w:rPr>
          <w:rFonts w:ascii="Arial" w:cs="Arial" w:eastAsia="Arial" w:hAnsi="Arial"/>
        </w:rPr>
        <w:t xml:space="preserve">An order in the nature of mandamus directed to the Administrative Review Tribunal requiring it to determine the applicants' applications (including the severance application) and to proceed to hearing within a time fixed by the Court. [May be brought as a separate proceeding — see Part E.]</w:t>
      </w:r>
    </w:p>
    <w:p>
      <w:pPr>
        <w:pStyle w:val="ListParagraph"/>
        <w:numPr>
          <w:ilvl w:val="0"/>
          <w:numId w:val="2"/>
        </w:numPr>
        <w:spacing w:after="120" w:line="276"/>
      </w:pPr>
      <w:r>
        <w:rPr>
          <w:rFonts w:ascii="Arial" w:cs="Arial" w:eastAsia="Arial" w:hAnsi="Arial"/>
        </w:rPr>
        <w:t xml:space="preserve">Orders for preliminary discovery and/or production in aid of the relief (Federal Court Rules 2011 (Cth), Pt 7 — rr 7.22–7.23 [PIN]).</w:t>
      </w:r>
    </w:p>
    <w:p>
      <w:pPr>
        <w:pStyle w:val="ListParagraph"/>
        <w:numPr>
          <w:ilvl w:val="0"/>
          <w:numId w:val="2"/>
        </w:numPr>
        <w:spacing w:after="120" w:line="276"/>
      </w:pPr>
      <w:r>
        <w:rPr>
          <w:rFonts w:ascii="Arial" w:cs="Arial" w:eastAsia="Arial" w:hAnsi="Arial"/>
        </w:rPr>
        <w:t xml:space="preserve">Costs; and further or other relief as the Court considers appropriate.</w:t>
      </w:r>
    </w:p>
    <w:p>
      <w:pPr>
        <w:pStyle w:val="Heading1"/>
      </w:pPr>
      <w:r>
        <w:t xml:space="preserve">Part C — Grounds</w:t>
      </w:r>
    </w:p>
    <w:p>
      <w:pPr>
        <w:pStyle w:val="ListParagraph"/>
        <w:numPr>
          <w:ilvl w:val="0"/>
          <w:numId w:val="3"/>
        </w:numPr>
        <w:spacing w:after="120" w:line="276"/>
      </w:pPr>
      <w:r>
        <w:rPr>
          <w:rFonts w:ascii="Arial" w:cs="Arial" w:eastAsia="Arial" w:hAnsi="Arial"/>
          <w:b/>
          <w:bCs/>
        </w:rPr>
        <w:t xml:space="preserve">Improper purpose.  </w:t>
      </w:r>
      <w:r>
        <w:rPr>
          <w:rFonts w:ascii="Arial" w:cs="Arial" w:eastAsia="Arial" w:hAnsi="Arial"/>
        </w:rPr>
        <w:t xml:space="preserve">The relevant powers were exercised for a purpose other than that for which they were conferred — to dismantle the Third Applicant's business and to benefit competing providers — contrary to Padfield v Minister of Agriculture [1968] AC 997, R v Toohey; Ex parte Northern Land Council (1981) 151 CLR 170 and Thompson v Randwick Corporation (1950) 81 CLR 87. [PIN]</w:t>
      </w:r>
    </w:p>
    <w:p>
      <w:pPr>
        <w:pStyle w:val="ListParagraph"/>
        <w:numPr>
          <w:ilvl w:val="0"/>
          <w:numId w:val="3"/>
        </w:numPr>
        <w:spacing w:after="120" w:line="276"/>
      </w:pPr>
      <w:r>
        <w:rPr>
          <w:rFonts w:ascii="Arial" w:cs="Arial" w:eastAsia="Arial" w:hAnsi="Arial"/>
          <w:b/>
          <w:bCs/>
        </w:rPr>
        <w:t xml:space="preserve">Want of authority / beyond power.  </w:t>
      </w:r>
      <w:r>
        <w:rPr>
          <w:rFonts w:ascii="Arial" w:cs="Arial" w:eastAsia="Arial" w:hAnsi="Arial"/>
        </w:rPr>
        <w:t xml:space="preserve">The impugned directions (in particular any direction to cease or freeze payments) were not authorised — cf. the contemporaneous statement of Ms Lundgren (6 October 2022) that “the Agency has not directed Assist Plan Managers to cease all payments.”</w:t>
      </w:r>
    </w:p>
    <w:p>
      <w:pPr>
        <w:pStyle w:val="ListParagraph"/>
        <w:numPr>
          <w:ilvl w:val="0"/>
          <w:numId w:val="3"/>
        </w:numPr>
        <w:spacing w:after="120" w:line="276"/>
      </w:pPr>
      <w:r>
        <w:rPr>
          <w:rFonts w:ascii="Arial" w:cs="Arial" w:eastAsia="Arial" w:hAnsi="Arial"/>
          <w:b/>
          <w:bCs/>
        </w:rPr>
        <w:t xml:space="preserve">Legal unreasonableness (alternative).  </w:t>
      </w:r>
      <w:r>
        <w:rPr>
          <w:rFonts w:ascii="Arial" w:cs="Arial" w:eastAsia="Arial" w:hAnsi="Arial"/>
        </w:rPr>
        <w:t xml:space="preserve">The conduct was legally unreasonable in the sense explained in Minister for Immigration and Citizenship v Li (2013) 249 CLR 332. [PIN]</w:t>
      </w:r>
    </w:p>
    <w:p>
      <w:pPr>
        <w:pStyle w:val="ListParagraph"/>
        <w:numPr>
          <w:ilvl w:val="0"/>
          <w:numId w:val="3"/>
        </w:numPr>
        <w:spacing w:after="120" w:line="276"/>
      </w:pPr>
      <w:r>
        <w:rPr>
          <w:rFonts w:ascii="Arial" w:cs="Arial" w:eastAsia="Arial" w:hAnsi="Arial"/>
          <w:b/>
          <w:bCs/>
        </w:rPr>
        <w:t xml:space="preserve">ADJR grounds (if available).  </w:t>
      </w:r>
      <w:r>
        <w:rPr>
          <w:rFonts w:ascii="Arial" w:cs="Arial" w:eastAsia="Arial" w:hAnsi="Arial"/>
        </w:rPr>
        <w:t xml:space="preserve">If and to the extent the impugned acts are decisions under an enactment, the grounds in s 5 of the ADJR Act, including improper purpose (s 5(2)(c)) and taking account of irrelevant considerations (s 5(2)(a)). [PIN — contingent on the “under an enactment” question.]</w:t>
      </w:r>
    </w:p>
    <w:p>
      <w:pPr>
        <w:pStyle w:val="ListParagraph"/>
        <w:numPr>
          <w:ilvl w:val="0"/>
          <w:numId w:val="3"/>
        </w:numPr>
        <w:spacing w:after="120" w:line="276"/>
      </w:pPr>
      <w:r>
        <w:rPr>
          <w:rFonts w:ascii="Arial" w:cs="Arial" w:eastAsia="Arial" w:hAnsi="Arial"/>
          <w:b/>
          <w:bCs/>
        </w:rPr>
        <w:t xml:space="preserve">Constructive failure to exercise jurisdiction (delay strand).  </w:t>
      </w:r>
      <w:r>
        <w:rPr>
          <w:rFonts w:ascii="Arial" w:cs="Arial" w:eastAsia="Arial" w:hAnsi="Arial"/>
        </w:rPr>
        <w:t xml:space="preserve">The Tribunal has failed to determine the applications within a reasonable time, amounting to a constructive failure to exercise its jurisdiction — Plaintiff S297/2013 v Minister for Immigration and Border Protection [2014] HCA 24; Thornton v Repatriation Commission (1981) 52 FLR 285. [PIN]</w:t>
      </w:r>
    </w:p>
    <w:p>
      <w:pPr>
        <w:pStyle w:val="Heading1"/>
      </w:pPr>
      <w:r>
        <w:t xml:space="preserve">Part D — Concise statement of material facts (the documentary spine)</w:t>
      </w:r>
    </w:p>
    <w:p>
      <w:pPr>
        <w:pStyle w:val="ListParagraph"/>
        <w:numPr>
          <w:ilvl w:val="0"/>
          <w:numId w:val="4"/>
        </w:numPr>
        <w:spacing w:after="120" w:line="276"/>
      </w:pPr>
      <w:r>
        <w:rPr>
          <w:rFonts w:ascii="Arial" w:cs="Arial" w:eastAsia="Arial" w:hAnsi="Arial"/>
        </w:rPr>
        <w:t xml:space="preserve">On 21 December 2022 the NDIS Commission made banning orders against the First and Second Applicants and the Third Applicant. The applicants contest the orders in the Administrative Review Tribunal (2023/3361, 2023/3363, 2023/4494).</w:t>
      </w:r>
    </w:p>
    <w:p>
      <w:pPr>
        <w:pStyle w:val="ListParagraph"/>
        <w:numPr>
          <w:ilvl w:val="0"/>
          <w:numId w:val="4"/>
        </w:numPr>
        <w:spacing w:after="120" w:line="276"/>
      </w:pPr>
      <w:r>
        <w:rPr>
          <w:rFonts w:ascii="Arial" w:cs="Arial" w:eastAsia="Arial" w:hAnsi="Arial"/>
        </w:rPr>
        <w:t xml:space="preserve">On the Commission's own brief (“Project Archer” / the Tactical Intelligence Report), the evidence “draws upon statements obtained and provided by the NDIA”, the NDIA “currently has an investigation ongoing”, and the “Provider Exit Protocol has been actioned with the NDIA.” [Subject to the 26 July 2024 non-disclosure orders — see Part E.]</w:t>
      </w:r>
    </w:p>
    <w:p>
      <w:pPr>
        <w:pStyle w:val="ListParagraph"/>
        <w:numPr>
          <w:ilvl w:val="0"/>
          <w:numId w:val="4"/>
        </w:numPr>
        <w:spacing w:after="120" w:line="276"/>
      </w:pPr>
      <w:r>
        <w:rPr>
          <w:rFonts w:ascii="Arial" w:cs="Arial" w:eastAsia="Arial" w:hAnsi="Arial"/>
        </w:rPr>
        <w:t xml:space="preserve">The NDIA officer Mr Halls is recorded directing the freezing of the Third Applicant's payments and installing a competing provider “at the request of the agency via a request for service” (16 August 2022), while Ms Lundgren wrote (6 October 2022) that the Agency had not directed any cessation of payments — an internal contradiction going to authority and purpose.</w:t>
      </w:r>
    </w:p>
    <w:p>
      <w:pPr>
        <w:pStyle w:val="ListParagraph"/>
        <w:numPr>
          <w:ilvl w:val="0"/>
          <w:numId w:val="4"/>
        </w:numPr>
        <w:spacing w:after="120" w:line="276"/>
      </w:pPr>
      <w:r>
        <w:rPr>
          <w:rFonts w:ascii="Arial" w:cs="Arial" w:eastAsia="Arial" w:hAnsi="Arial"/>
        </w:rPr>
        <w:t xml:space="preserve">On 11 March 2025 the AGS told the Tribunal there was “no current criminal investigation pertaining to Mrs Reid or to FFG” and that it “does not act for the NDIA”; the charges against the Second Applicant had been discontinued by the CDPP in February 2024 [date/basis to be pinned].</w:t>
      </w:r>
    </w:p>
    <w:p>
      <w:pPr>
        <w:pStyle w:val="ListParagraph"/>
        <w:numPr>
          <w:ilvl w:val="0"/>
          <w:numId w:val="4"/>
        </w:numPr>
        <w:spacing w:after="120" w:line="276"/>
      </w:pPr>
      <w:r>
        <w:rPr>
          <w:rFonts w:ascii="Arial" w:cs="Arial" w:eastAsia="Arial" w:hAnsi="Arial"/>
        </w:rPr>
        <w:t xml:space="preserve">The Third Applicant's banning order expired on 20 December 2025 before any merits hearing; the applications have been on foot since 2023, and the severance question argued and heard on the papers about 20 March 2026 remains undetermined.</w:t>
      </w:r>
    </w:p>
    <w:p>
      <w:pPr>
        <w:pStyle w:val="Heading1"/>
      </w:pPr>
      <w:r>
        <w:t xml:space="preserve">Part E — Matters counsel must settle before filing</w:t>
      </w:r>
    </w:p>
    <w:p>
      <w:pPr>
        <w:pStyle w:val="ListParagraph"/>
        <w:numPr>
          <w:ilvl w:val="0"/>
          <w:numId w:val="5"/>
        </w:numPr>
        <w:spacing w:after="120" w:line="276"/>
      </w:pPr>
      <w:r>
        <w:rPr>
          <w:rFonts w:ascii="Arial" w:cs="Arial" w:eastAsia="Arial" w:hAnsi="Arial"/>
          <w:b/>
          <w:bCs/>
        </w:rPr>
        <w:t xml:space="preserve">Respondent identity and structure.  </w:t>
      </w:r>
      <w:r>
        <w:rPr>
          <w:rFonts w:ascii="Arial" w:cs="Arial" w:eastAsia="Arial" w:hAnsi="Arial"/>
        </w:rPr>
        <w:t xml:space="preserve">Who is the correct respondent for each head (CEO of the NDIA; the NDIA; the Commonwealth; the Tribunal/member for the delay strand), and whether the NDIA-conduct review and the Tribunal-delay mandamus belong in one proceeding or two.</w:t>
      </w:r>
    </w:p>
    <w:p>
      <w:pPr>
        <w:pStyle w:val="ListParagraph"/>
        <w:numPr>
          <w:ilvl w:val="0"/>
          <w:numId w:val="5"/>
        </w:numPr>
        <w:spacing w:after="120" w:line="276"/>
      </w:pPr>
      <w:r>
        <w:rPr>
          <w:rFonts w:ascii="Arial" w:cs="Arial" w:eastAsia="Arial" w:hAnsi="Arial"/>
          <w:b/>
          <w:bCs/>
        </w:rPr>
        <w:t xml:space="preserve">The reviewable acts.  </w:t>
      </w:r>
      <w:r>
        <w:rPr>
          <w:rFonts w:ascii="Arial" w:cs="Arial" w:eastAsia="Arial" w:hAnsi="Arial"/>
        </w:rPr>
        <w:t xml:space="preserve">Precisely identify each “decision” or “conduct” under challenge; some 2022 conduct may not be a “decision under an enactment” for ADJR — s 39B is the safer anchor.</w:t>
      </w:r>
    </w:p>
    <w:p>
      <w:pPr>
        <w:pStyle w:val="ListParagraph"/>
        <w:numPr>
          <w:ilvl w:val="0"/>
          <w:numId w:val="5"/>
        </w:numPr>
        <w:spacing w:after="120" w:line="276"/>
      </w:pPr>
      <w:r>
        <w:rPr>
          <w:rFonts w:ascii="Arial" w:cs="Arial" w:eastAsia="Arial" w:hAnsi="Arial"/>
          <w:b/>
          <w:bCs/>
        </w:rPr>
        <w:t xml:space="preserve">TIME — the central vulnerability.  </w:t>
      </w:r>
      <w:r>
        <w:rPr>
          <w:rFonts w:ascii="Arial" w:cs="Arial" w:eastAsia="Arial" w:hAnsi="Arial"/>
        </w:rPr>
        <w:t xml:space="preserve">Judicial review of 2022 conduct commenced in 2026 faces a serious discretionary delay bar. Address it head-on: consider confining the review to continuing conduct and recent decisions, and relying on declarations plus the misfeasance/damages route for the historic conduct. Do not file without a delay answer.</w:t>
      </w:r>
    </w:p>
    <w:p>
      <w:pPr>
        <w:pStyle w:val="ListParagraph"/>
        <w:numPr>
          <w:ilvl w:val="0"/>
          <w:numId w:val="5"/>
        </w:numPr>
        <w:spacing w:after="120" w:line="276"/>
      </w:pPr>
      <w:r>
        <w:rPr>
          <w:rFonts w:ascii="Arial" w:cs="Arial" w:eastAsia="Arial" w:hAnsi="Arial"/>
          <w:b/>
          <w:bCs/>
        </w:rPr>
        <w:t xml:space="preserve">Standing.  </w:t>
      </w:r>
      <w:r>
        <w:rPr>
          <w:rFonts w:ascii="Arial" w:cs="Arial" w:eastAsia="Arial" w:hAnsi="Arial"/>
        </w:rPr>
        <w:t xml:space="preserve">Confirm standing for each applicant on each head of relief.</w:t>
      </w:r>
    </w:p>
    <w:p>
      <w:pPr>
        <w:pStyle w:val="ListParagraph"/>
        <w:numPr>
          <w:ilvl w:val="0"/>
          <w:numId w:val="5"/>
        </w:numPr>
        <w:spacing w:after="120" w:line="276"/>
      </w:pPr>
      <w:r>
        <w:rPr>
          <w:rFonts w:ascii="Arial" w:cs="Arial" w:eastAsia="Arial" w:hAnsi="Arial"/>
          <w:b/>
          <w:bCs/>
        </w:rPr>
        <w:t xml:space="preserve">The 26 July 2024 non-disclosure orders.  </w:t>
      </w:r>
      <w:r>
        <w:rPr>
          <w:rFonts w:ascii="Arial" w:cs="Arial" w:eastAsia="Arial" w:hAnsi="Arial"/>
        </w:rPr>
        <w:t xml:space="preserve">Reliance on Project Archer / the Tactical Intelligence Report is constrained by the Tribunal's non-disclosure orders; move to discharge or qualify them first.</w:t>
      </w:r>
    </w:p>
    <w:p>
      <w:pPr>
        <w:pStyle w:val="ListParagraph"/>
        <w:numPr>
          <w:ilvl w:val="0"/>
          <w:numId w:val="5"/>
        </w:numPr>
        <w:spacing w:after="120" w:line="276"/>
      </w:pPr>
      <w:r>
        <w:rPr>
          <w:rFonts w:ascii="Arial" w:cs="Arial" w:eastAsia="Arial" w:hAnsi="Arial"/>
          <w:b/>
          <w:bCs/>
        </w:rPr>
        <w:t xml:space="preserve">Forum and costs.  </w:t>
      </w:r>
      <w:r>
        <w:rPr>
          <w:rFonts w:ascii="Arial" w:cs="Arial" w:eastAsia="Arial" w:hAnsi="Arial"/>
        </w:rPr>
        <w:t xml:space="preserve">Federal Court (s 39B) versus the Federal Circuit and Family Court; and the adverse-costs exposure (costs follow the event), unlike the Tribunal's limited-costs regime.</w:t>
      </w:r>
    </w:p>
    <w:p>
      <w:pPr>
        <w:pStyle w:val="ListParagraph"/>
        <w:numPr>
          <w:ilvl w:val="0"/>
          <w:numId w:val="5"/>
        </w:numPr>
        <w:spacing w:after="120" w:line="276"/>
      </w:pPr>
      <w:r>
        <w:rPr>
          <w:rFonts w:ascii="Arial" w:cs="Arial" w:eastAsia="Arial" w:hAnsi="Arial"/>
          <w:b/>
          <w:bCs/>
        </w:rPr>
        <w:t xml:space="preserve">Misfeasance limitation.  </w:t>
      </w:r>
      <w:r>
        <w:rPr>
          <w:rFonts w:ascii="Arial" w:cs="Arial" w:eastAsia="Arial" w:hAnsi="Arial"/>
        </w:rPr>
        <w:t xml:space="preserve">Protect the limitation position for any associated misfeasance claim (generally six years from accrual; the conduct dates from 2022) — confirm the applicable State Limitation Act and diarise it.</w:t>
      </w:r>
    </w:p>
    <w:p>
      <w:pPr>
        <w:pStyle w:val="ListParagraph"/>
        <w:numPr>
          <w:ilvl w:val="0"/>
          <w:numId w:val="5"/>
        </w:numPr>
        <w:spacing w:after="120" w:line="276"/>
      </w:pPr>
      <w:r>
        <w:rPr>
          <w:rFonts w:ascii="Arial" w:cs="Arial" w:eastAsia="Arial" w:hAnsi="Arial"/>
          <w:b/>
          <w:bCs/>
        </w:rPr>
        <w:t xml:space="preserve">Evidence and verification.  </w:t>
      </w:r>
      <w:r>
        <w:rPr>
          <w:rFonts w:ascii="Arial" w:cs="Arial" w:eastAsia="Arial" w:hAnsi="Arial"/>
        </w:rPr>
        <w:t xml:space="preserve">Pin every [PIN] authority; build the case on the verified items in the Evidence Matrix; plead the ABF “another agency” material verbatim only; do not assert the unverified items as fact.</w:t>
      </w:r>
    </w:p>
    <w:p>
      <w:pPr>
        <w:pBdr>
          <w:bottom w:val="single" w:color="888888" w:sz="6" w:space="1"/>
        </w:pBdr>
        <w:spacing w:after="140"/>
      </w:pPr>
      <w:r>
        <w:rPr>
          <w:rFonts w:ascii="Arial" w:cs="Arial" w:eastAsia="Arial" w:hAnsi="Arial"/>
        </w:rPr>
        <w:t xml:space="preserve"/>
      </w:r>
    </w:p>
    <w:p>
      <w:pPr>
        <w:spacing w:after="140" w:line="276"/>
      </w:pPr>
      <w:r>
        <w:rPr>
          <w:rFonts w:ascii="Arial" w:cs="Arial" w:eastAsia="Arial" w:hAnsi="Arial"/>
        </w:rPr>
        <w:t xml:space="preserve">Dated: 14 June 2026.    </w:t>
      </w:r>
      <w:r>
        <w:rPr>
          <w:rFonts w:ascii="Arial" w:cs="Arial" w:eastAsia="Arial" w:hAnsi="Arial"/>
          <w:i/>
          <w:iCs/>
        </w:rPr>
        <w:t xml:space="preserve">Prepared to brief counsel. </w:t>
      </w:r>
      <w:r>
        <w:rPr>
          <w:rFonts w:ascii="Arial" w:cs="Arial" w:eastAsia="Arial" w:hAnsi="Arial"/>
          <w:i/>
          <w:iCs/>
        </w:rPr>
        <w:t xml:space="preserve">Simon Reid and Vida Reid (self-represented); for settling by counsel before any filing.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AA0000"/>
        <w:sz w:val="15"/>
        <w:szCs w:val="15"/>
      </w:rPr>
      <w:t xml:space="preserve">DRAFT SKELETON — to brief counsel — NOT FOR FILING — verify all [PIN] items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40"/>
      </w:pPr>
    </w:lvl>
  </w:abstractNum>
  <w:abstractNum w:abstractNumId="3" w15:restartNumberingAfterBreak="0">
    <w:multiLevelType w:val="hybridMultilevel"/>
    <w:lvl w:ilvl="0" w15:tentative="1">
      <w:start w:val="1"/>
      <w:numFmt w:val="decimal"/>
      <w:lvlText w:val="%1."/>
      <w:lvlJc w:val="left"/>
      <w:pPr>
        <w:ind w:left="560" w:hanging="340"/>
      </w:pPr>
    </w:lvl>
  </w:abstractNum>
  <w:abstractNum w:abstractNumId="4" w15:restartNumberingAfterBreak="0">
    <w:multiLevelType w:val="hybridMultilevel"/>
    <w:lvl w:ilvl="0" w15:tentative="1">
      <w:start w:val="1"/>
      <w:numFmt w:val="decimal"/>
      <w:lvlText w:val="%1."/>
      <w:lvlJc w:val="left"/>
      <w:pPr>
        <w:ind w:left="560" w:hanging="340"/>
      </w:pPr>
    </w:lvl>
  </w:abstractNum>
  <w:abstractNum w:abstractNumId="5" w15:restartNumberingAfterBreak="0">
    <w:multiLevelType w:val="hybridMultilevel"/>
    <w:lvl w:ilvl="0" w15:tentative="1">
      <w:start w:val="1"/>
      <w:numFmt w:val="decimal"/>
      <w:lvlText w:val="%1."/>
      <w:lvlJc w:val="left"/>
      <w:pPr>
        <w:ind w:left="5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2026-06-14T06:00:24.705Z</dcterms:created>
  <dcterms:modified xsi:type="dcterms:W3CDTF">2026-06-14T06:00:24.705Z</dcterms:modified>
</cp:coreProperties>
</file>

<file path=docProps/custom.xml><?xml version="1.0" encoding="utf-8"?>
<Properties xmlns="http://schemas.openxmlformats.org/officeDocument/2006/custom-properties" xmlns:vt="http://schemas.openxmlformats.org/officeDocument/2006/docPropsVTypes"/>
</file>