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8B0000"/>
          <w:sz w:val="22"/>
          <w:szCs w:val="22"/>
        </w:rPr>
        <w:t xml:space="preserve">CONFIDENTIAL — LEGALLY PRIVILEGED</w:t>
      </w:r>
    </w:p>
    <w:p>
      <w:pPr>
        <w:spacing w:after="120"/>
        <w:jc w:val="center"/>
      </w:pPr>
      <w:r>
        <w:rPr>
          <w:b/>
          <w:bCs/>
          <w:sz w:val="32"/>
          <w:szCs w:val="32"/>
        </w:rPr>
        <w:t xml:space="preserve">Reid v Commissioner of the NDIS Quality and Safeguards Commission</w:t>
      </w:r>
    </w:p>
    <w:p>
      <w:pPr>
        <w:spacing w:after="80"/>
        <w:jc w:val="center"/>
      </w:pPr>
      <w:r>
        <w:rPr>
          <w:i/>
          <w:iCs/>
          <w:sz w:val="24"/>
          <w:szCs w:val="24"/>
        </w:rPr>
        <w:t xml:space="preserve">Deep-dive analysis — two principal grounds and the broader context</w:t>
      </w:r>
    </w:p>
    <w:p>
      <w:pPr>
        <w:spacing w:after="80"/>
        <w:jc w:val="center"/>
      </w:pPr>
      <w:r>
        <w:rPr>
          <w:sz w:val="22"/>
          <w:szCs w:val="22"/>
        </w:rPr>
        <w:t xml:space="preserve">(1) Simon Reid — no individualised assessment   |   (2) Vida Reid — ultra vires change in statutory ground   |   (3) Improper purpose and political timing</w:t>
      </w:r>
    </w:p>
    <w:p>
      <w:pPr>
        <w:spacing w:after="240"/>
        <w:jc w:val="center"/>
      </w:pPr>
      <w:r>
        <w:rPr>
          <w:sz w:val="20"/>
          <w:szCs w:val="20"/>
        </w:rPr>
        <w:t xml:space="preserve">ART matters 2023/3361 (V Reid), 2023/3363 (S Reid), 2023/4494 (FFG)   |   v2 — 13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Applicants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Simon Reid (2023/3363); Vida Reid (2023/3361); Forward Focused Group Pty Ltd (2023/4494) — all currently self-represented (Tom &amp; Co Legal ceased acting in February 2025)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Respondent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Commissioner of the NDIS Quality and Safeguards Commission — represented by Karlie Dickinson and Craig Land, Australian Government Solicitor</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Tribunal</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Administrative Review Tribunal, Brisbane Registry — Deputy President McMillan KC presiding; Hayley Bird MSO</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Original decision-maker</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Philip Halton, Branch Head, Operations — North Central West (delegate of the Commissioner)</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Internal reviewer</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Sian Leathem, Complaints Commissioner (delegate under s 100 NDIS Act) — IR(6) 22/23 (Vida) and IR(7) 22/23 (Simon), both dated 21 April 2023</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Current procedural posture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Severance applications heard on the papers 20 March 2026 — Tribunal decision still under consideration as at 13 May 2026. Respondent's updated tender bundle (promised by 10 April 2026) not formally filed. AGS provided informal bundle of previously-omitted Simon-specific documents on 7 May 2026, with concurrent s 70 application seeking non-disclosure of two legal advice attachments.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Authorities for this note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ART Act 2024 (Cth) ss 23, 27, 70, 71, 86, 105; NDIS Act 2013 (Cth) ss 73ZM, 73ZN(2)(a)(i)–(iii), 73ZO, 100, 181D; Frugtniet v ASIC; Townshend v ASIC; SZBEL; WZARH; Applicant S; Craig; Kirk; Hossain; ASIC v Healey; Morley v ASIC; Peko-Wallsend; Annetts v McCann; VEAL v Minister; Shi v MARA; Padfield; Toohey; Thompson v Randwick; Sanders v Snell; Minister for Immigration v Li</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Author</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Internal research note prepared for the applicants — not legal advice.</w:t>
            </w:r>
          </w:p>
        </w:tc>
      </w:tr>
    </w:tbl>
    <w:p>
      <w:pPr>
        <w:spacing w:after="200"/>
      </w:pPr>
      <w:r>
        <w:t xml:space="preserve"/>
      </w:r>
    </w:p>
    <w:p>
      <w:pPr>
        <w:pStyle w:val="Heading1"/>
        <w:spacing w:after="160" w:before="320"/>
      </w:pPr>
      <w:r>
        <w:t xml:space="preserve">1.  Executive summary</w:t>
      </w:r>
    </w:p>
    <w:p>
      <w:pPr>
        <w:spacing w:after="120" w:line="300"/>
        <w:jc w:val="both"/>
      </w:pPr>
      <w:r>
        <w:t xml:space="preserve">This note examines, in depth, the two grounds the applicants now propose to put at the centre of their case before the Administrative Review Tribunal, and the broader context that explains and reinforces them:</w:t>
      </w:r>
    </w:p>
    <w:p>
      <w:pPr>
        <w:pStyle w:val="ListParagraph"/>
        <w:numPr>
          <w:ilvl w:val="0"/>
          <w:numId w:val="2"/>
        </w:numPr>
        <w:spacing w:after="80" w:line="300"/>
        <w:jc w:val="both"/>
      </w:pPr>
      <w:r>
        <w:t xml:space="preserve">Simon Reid — that the original banning decision was made without any individualised assessment of his own conduct, knowledge or culpability, in circumstances where the contemporaneous record discloses that the Commission attributed his wife's conduct, and the conduct of corporate entities of which he was not a director at the material time, to him personally;</w:t>
      </w:r>
    </w:p>
    <w:p>
      <w:pPr>
        <w:pStyle w:val="ListParagraph"/>
        <w:numPr>
          <w:ilvl w:val="0"/>
          <w:numId w:val="2"/>
        </w:numPr>
        <w:spacing w:after="80" w:line="300"/>
        <w:jc w:val="both"/>
      </w:pPr>
      <w:r>
        <w:t xml:space="preserve">Vida Reid — that, on internal review under s 100 of the NDIS Act, the Complaints Commissioner purported to "vary" Mrs Reid's banning order by switching its statutory foundation from s 73ZN(2)(a)(i) (contravention) to s 73ZN(2)(a)(iii) (suitability). That move was not a variation; it was, in substance, the making of a fresh decision under a different head of power, undertaken in excess of the s 100 review power and without compliance with the antecedent statutory protections in ss 73ZM, 73ZN; and</w:t>
      </w:r>
    </w:p>
    <w:p>
      <w:pPr>
        <w:pStyle w:val="ListParagraph"/>
        <w:numPr>
          <w:ilvl w:val="0"/>
          <w:numId w:val="2"/>
        </w:numPr>
        <w:spacing w:after="80" w:line="300"/>
        <w:jc w:val="both"/>
      </w:pPr>
      <w:r>
        <w:t xml:space="preserve">The broader context (Section 6) — that the decisions were made on a 19 October 2022 same-day footing that required multi-agency coordination, against a December 2022 ministerial announcement window, with the Commission's own originating brief recording that the proposed action was "quite strong" relative to conduct that focused on "administrative and personal errors". On the Padfield / Toohey line of authority, the dominant purpose for which the power was exercised is open to challenge.</w:t>
      </w:r>
    </w:p>
    <w:p>
      <w:pPr>
        <w:spacing w:after="120" w:line="300"/>
        <w:jc w:val="both"/>
      </w:pPr>
      <w:r>
        <w:t xml:space="preserve">Both principal grounds are documentary in nature. Each is anchored in admissions on the face of the Commission's own materials, so the evidentiary risk is comparatively low. Each is independently sufficient, on a merits review, to warrant setting aside the relevant decision; together they constitute a forceful platform for relief. The political-timing context developed at Section 6 does not displace the two grounds — it explains why the procedural and substantive defects were as comprehensive as they were.</w:t>
      </w:r>
    </w:p>
    <w:p>
      <w:pPr>
        <w:spacing w:after="120" w:line="300"/>
        <w:jc w:val="both"/>
      </w:pPr>
      <w:r>
        <w:t xml:space="preserve">As at 13 May 2026 the case has reached an unusual procedural inflection point. The Commission has now admitted on the record (Short Supplementary Submissions, 19 March 2026) that eight categories of Simon-specific documents — including Mr Reid's own Notice and Statement of Reasons and the three briefing notes that underlie his ban — were omitted from the original 13 June 2024 tender bundle. The promised remediation by 10 April 2026 did not occur. On 7 May 2026 the AGS supplied an informal version of the omitted documents direct to Mr Reid, but concurrently filed an application under s 70 of the ART Act 2024 to withhold from the applicants two legal advice attachments to the briefing notes. The severance applications, heard on the papers on 20 March 2026, remain reserved. This is the moment to file amended Statements of Facts, Issues and Contentions that put each ground at the front of the case.</w:t>
      </w:r>
    </w:p>
    <w:p>
      <w:pPr>
        <w:pStyle w:val="Heading1"/>
        <w:spacing w:after="160" w:before="320"/>
      </w:pPr>
      <w:r>
        <w:t xml:space="preserve">2.  Procedural history and documentary basis</w:t>
      </w:r>
    </w:p>
    <w:p>
      <w:pPr>
        <w:pStyle w:val="Heading2"/>
        <w:spacing w:after="120" w:before="260"/>
      </w:pPr>
      <w:r>
        <w:t xml:space="preserve">2.1  The decisions actually under review</w:t>
      </w:r>
    </w:p>
    <w:p>
      <w:pPr>
        <w:spacing w:after="120" w:line="300"/>
        <w:jc w:val="both"/>
      </w:pPr>
      <w:r>
        <w:t xml:space="preserve">The decision in respect of Simon Reid is the banning order made by Mr Philip Halton on 21 December 2022, prohibiting Mr Reid from any involvement in the NDIS sector for five years, expressed to be made under s 73ZN(2)(a)(iii) — "not suitable to be involved in the provision of supports or services". That decision was "varied" by the Complaints Commissioner on 21 April 2023 only to broaden the operative prohibition (to include indirect involvement, labour hire, and the provision of support, funding, guidance or assistance to NDIS providers). The statutory foundation of Simon Reid's order has at no time changed: it has always been s 73ZN(2)(a)(iii).</w:t>
      </w:r>
    </w:p>
    <w:p>
      <w:pPr>
        <w:spacing w:after="120" w:line="300"/>
        <w:jc w:val="both"/>
      </w:pPr>
      <w:r>
        <w:t xml:space="preserve">The decision in respect of Vida Reid is the banning order made by Mr Halton on 20 December 2022. On its face that order rested on s 73ZN(2)(a)(i) — a reasonable belief that Mrs Reid had contravened, was contravening, or was likely to contravene the NDIS Act. That decision was "varied" by the Complaints Commissioner on 21 April 2023 in two distinct respects: (a) the statutory ground was changed from s 73ZN(2)(a)(i) to s 73ZN(2)(a)(iii); and (b) the operative prohibition was broadened in the same terms as Simon's.</w:t>
      </w:r>
    </w:p>
    <w:p>
      <w:pPr>
        <w:pStyle w:val="Heading2"/>
        <w:spacing w:after="120" w:before="260"/>
      </w:pPr>
      <w:r>
        <w:t xml:space="preserve">2.2  The key documentary sources</w:t>
      </w:r>
    </w:p>
    <w:p>
      <w:pPr>
        <w:spacing w:after="120" w:line="300"/>
        <w:jc w:val="both"/>
      </w:pPr>
      <w:r>
        <w:t xml:space="preserve">The analysis that follows relies on the following materials (now all in the applicants' possession):</w:t>
      </w:r>
    </w:p>
    <w:p>
      <w:pPr>
        <w:pStyle w:val="ListParagraph"/>
        <w:numPr>
          <w:ilvl w:val="0"/>
          <w:numId w:val="2"/>
        </w:numPr>
        <w:spacing w:after="80" w:line="300"/>
        <w:jc w:val="both"/>
      </w:pPr>
      <w:r>
        <w:t xml:space="preserve">the original Notice of Banning Order — Vida Reid (Philip Halton, 20 December 2022), which expressly cites s 73ZN(2)(a)(i);</w:t>
      </w:r>
    </w:p>
    <w:p>
      <w:pPr>
        <w:pStyle w:val="ListParagraph"/>
        <w:numPr>
          <w:ilvl w:val="0"/>
          <w:numId w:val="2"/>
        </w:numPr>
        <w:spacing w:after="80" w:line="300"/>
        <w:jc w:val="both"/>
      </w:pPr>
      <w:r>
        <w:t xml:space="preserve">the original Notice of Banning Order — Simon Reid (Philip Halton, 21 December 2022), citing s 73ZN(2)(a)(iii) — produced informally on 7 May 2026 after non-inclusion in the original tender bundle;</w:t>
      </w:r>
    </w:p>
    <w:p>
      <w:pPr>
        <w:pStyle w:val="ListParagraph"/>
        <w:numPr>
          <w:ilvl w:val="0"/>
          <w:numId w:val="2"/>
        </w:numPr>
        <w:spacing w:after="80" w:line="300"/>
        <w:jc w:val="both"/>
      </w:pPr>
      <w:r>
        <w:t xml:space="preserve">Executive Brief EC22-002000 (19 October 2022) — the originating brief recommending FFG suspension, notice of intention to revoke FFG's registration, and a 10-year banning order against Vida; signed by Mr Halton on the day of Ms Reid's arrest;</w:t>
      </w:r>
    </w:p>
    <w:p>
      <w:pPr>
        <w:pStyle w:val="ListParagraph"/>
        <w:numPr>
          <w:ilvl w:val="0"/>
          <w:numId w:val="2"/>
        </w:numPr>
        <w:spacing w:after="80" w:line="300"/>
        <w:jc w:val="both"/>
      </w:pPr>
      <w:r>
        <w:t xml:space="preserve">Executive Brief EC22-002103 (Project Archer), 17 November 2022 — the brief that recommended issuing notices of intention against multiple entities and Mr Reid under s 73ZN(2)(a)(iii);</w:t>
      </w:r>
    </w:p>
    <w:p>
      <w:pPr>
        <w:pStyle w:val="ListParagraph"/>
        <w:numPr>
          <w:ilvl w:val="0"/>
          <w:numId w:val="2"/>
        </w:numPr>
        <w:spacing w:after="80" w:line="300"/>
        <w:jc w:val="both"/>
      </w:pPr>
      <w:r>
        <w:t xml:space="preserve">Executive Brief EC22-002429, 2 December 2022 — recording the extension of time granted to Mr Reid to respond to the notice of intention;</w:t>
      </w:r>
    </w:p>
    <w:p>
      <w:pPr>
        <w:pStyle w:val="ListParagraph"/>
        <w:numPr>
          <w:ilvl w:val="0"/>
          <w:numId w:val="2"/>
        </w:numPr>
        <w:spacing w:after="80" w:line="300"/>
        <w:jc w:val="both"/>
      </w:pPr>
      <w:r>
        <w:t xml:space="preserve">Executive Brief EC22-002521, 21 December 2022 — the decision brief in respect of Mr Reid;</w:t>
      </w:r>
    </w:p>
    <w:p>
      <w:pPr>
        <w:pStyle w:val="ListParagraph"/>
        <w:numPr>
          <w:ilvl w:val="0"/>
          <w:numId w:val="2"/>
        </w:numPr>
        <w:spacing w:after="80" w:line="300"/>
        <w:jc w:val="both"/>
      </w:pPr>
      <w:r>
        <w:t xml:space="preserve">Executive Brief EC22-002581, 20 December 2022 — the decision brief in respect of FFG and Vida;</w:t>
      </w:r>
    </w:p>
    <w:p>
      <w:pPr>
        <w:pStyle w:val="ListParagraph"/>
        <w:numPr>
          <w:ilvl w:val="0"/>
          <w:numId w:val="2"/>
        </w:numPr>
        <w:spacing w:after="80" w:line="300"/>
        <w:jc w:val="both"/>
      </w:pPr>
      <w:r>
        <w:t xml:space="preserve">the Notice of Internal Review Decision and Statement of Reasons — Mrs Vida Reid (Sian Leathem, IR(6) 22/23, 21 April 2023);</w:t>
      </w:r>
    </w:p>
    <w:p>
      <w:pPr>
        <w:pStyle w:val="ListParagraph"/>
        <w:numPr>
          <w:ilvl w:val="0"/>
          <w:numId w:val="2"/>
        </w:numPr>
        <w:spacing w:after="80" w:line="300"/>
        <w:jc w:val="both"/>
      </w:pPr>
      <w:r>
        <w:t xml:space="preserve">the Notice of Internal Review Decision and Statement of Reasons — Mr Simon Reid (Sian Leathem, IR(7) 22/23, 21 April 2023);</w:t>
      </w:r>
    </w:p>
    <w:p>
      <w:pPr>
        <w:pStyle w:val="ListParagraph"/>
        <w:numPr>
          <w:ilvl w:val="0"/>
          <w:numId w:val="2"/>
        </w:numPr>
        <w:spacing w:after="80" w:line="300"/>
        <w:jc w:val="both"/>
      </w:pPr>
      <w:r>
        <w:t xml:space="preserve">the NDIA Statement of Material Facts dated 19 October 2022, lodged in the criminal proceedings against Mrs Reid;</w:t>
      </w:r>
    </w:p>
    <w:p>
      <w:pPr>
        <w:pStyle w:val="ListParagraph"/>
        <w:numPr>
          <w:ilvl w:val="0"/>
          <w:numId w:val="2"/>
        </w:numPr>
        <w:spacing w:after="80" w:line="300"/>
        <w:jc w:val="both"/>
      </w:pPr>
      <w:r>
        <w:t xml:space="preserve">the NDIA Tactical Intelligence Report — Project Archer, dated 18 August 2022 (subject to non-disclosure orders made by DP Mischin on 26 July 2024, expressly relied on by AGS on 7 May 2026);</w:t>
      </w:r>
    </w:p>
    <w:p>
      <w:pPr>
        <w:pStyle w:val="ListParagraph"/>
        <w:numPr>
          <w:ilvl w:val="0"/>
          <w:numId w:val="2"/>
        </w:numPr>
        <w:spacing w:after="80" w:line="300"/>
        <w:jc w:val="both"/>
      </w:pPr>
      <w:r>
        <w:t xml:space="preserve">the Commission's Short Supplementary Submissions dated 19 March 2026; the AGS letter and s 70 application dated 7 May 2026; the applicants' Short Directions Submissions of 8 March 2026; and</w:t>
      </w:r>
    </w:p>
    <w:p>
      <w:pPr>
        <w:pStyle w:val="ListParagraph"/>
        <w:numPr>
          <w:ilvl w:val="0"/>
          <w:numId w:val="2"/>
        </w:numPr>
        <w:spacing w:after="80" w:line="300"/>
        <w:jc w:val="both"/>
      </w:pPr>
      <w:r>
        <w:t xml:space="preserve">the 23 December 2022 joint media release of the Minister for the NDIS (Hon. Bill Shorten MP) and the NDIS Commissioner (Tracy Mackey) issued through ministers.dss.gov.au.</w:t>
      </w:r>
    </w:p>
    <w:p>
      <w:pPr>
        <w:spacing w:after="120" w:line="300"/>
        <w:jc w:val="both"/>
      </w:pPr>
      <w:r>
        <w:t xml:space="preserve">Two features of that documentary record drive everything that follows. First, the Commission has now admitted, on the record, that the original tender bundle did not contain the principal source materials underlying Simon's ban — including his banning order, three briefing notes and three pieces of solicitor correspondence. Second, the Complaints Commissioner's Statement of Reasons in each of Vida's and Simon's internal reviews repeatedly attributes alleged misconduct in language that draws no distinction between Mr and Mrs Reid and that, on its face, concedes attribution errors. Those features supply the forensic foundation for both principal grounds.</w:t>
      </w:r>
    </w:p>
    <w:p>
      <w:pPr>
        <w:pStyle w:val="Heading1"/>
        <w:spacing w:after="160" w:before="320"/>
      </w:pPr>
      <w:r>
        <w:t xml:space="preserve">3.  Ground 1 — Simon Reid: no individualised assessment</w:t>
      </w:r>
    </w:p>
    <w:p>
      <w:pPr>
        <w:pStyle w:val="Heading2"/>
        <w:spacing w:after="120" w:before="260"/>
      </w:pPr>
      <w:r>
        <w:t xml:space="preserve">3.1  The proposition</w:t>
      </w:r>
    </w:p>
    <w:p>
      <w:pPr>
        <w:spacing w:after="120" w:line="300"/>
        <w:jc w:val="both"/>
      </w:pPr>
      <w:r>
        <w:t xml:space="preserve">The proposition advanced is straightforward: a banning order under s 73ZN(2)(a)(iii) of the NDIS Act requires the decision-maker to form a reasonable belief, on the basis of an individualised assessment, that the particular person the subject of the order is not suitable to be involved in the provision of supports or services. The reasonable belief must be that of the decision-maker, must be referable to the particular individual, and must be supported by considerations directed to that individual — including (where corporate conduct is involved) the individual's knowledge, intent, position, period of office and personal conduct. The decision-maker must not impute to the individual conduct that is not his, must not collapse the individual into a corporate or marital aggregate, and must not adopt findings made about another person (here, Vida Reid) by reference to a different statutory test (here, a criminal allegation tested on a different standard of proof in a different forum).</w:t>
      </w:r>
    </w:p>
    <w:p>
      <w:pPr>
        <w:spacing w:after="120" w:line="300"/>
        <w:jc w:val="both"/>
      </w:pPr>
      <w:r>
        <w:t xml:space="preserve">On the documentary record, the original decision-maker did none of this in any sustained or rigorous way. The decision was made on the materials before him in a brief structured around corporate conduct and Vida Reid's criminal charges, with Mr Reid drawn into the orbit of the order by reason of his marital and directorship relationships rather than because the brief or the decision-maker undertook a discrete analysis of his individual conduct and culpability. The internal reviewer's own reasons concede — repeatedly — that aspects of the original attribution to Mr Reid were not sustainable.</w:t>
      </w:r>
    </w:p>
    <w:p>
      <w:pPr>
        <w:pStyle w:val="Heading2"/>
        <w:spacing w:after="120" w:before="260"/>
      </w:pPr>
      <w:r>
        <w:t xml:space="preserve">3.2  The statutory requirement</w:t>
      </w:r>
    </w:p>
    <w:p>
      <w:pPr>
        <w:spacing w:after="120" w:line="300"/>
        <w:jc w:val="both"/>
      </w:pPr>
      <w:r>
        <w:t xml:space="preserve">Section 73ZN(2) of the NDIS Act confers a discretion on the Commissioner (or her delegate) to make a banning order where (relevantly) the Commissioner reasonably believes that </w:t>
      </w:r>
      <w:r>
        <w:rPr>
          <w:i/>
          <w:iCs/>
        </w:rPr>
        <w:t xml:space="preserve">the person</w:t>
      </w:r>
      <w:r>
        <w:t xml:space="preserve"> is not suitable to be involved in the provision of supports or services to people with disability: s 73ZN(2)(a)(iii). The word </w:t>
      </w:r>
      <w:r>
        <w:rPr>
          <w:i/>
          <w:iCs/>
        </w:rPr>
        <w:t xml:space="preserve">person</w:t>
      </w:r>
      <w:r>
        <w:t xml:space="preserve"> is significant. The power is a power to act against an individual, not against a household or a corporate group. The </w:t>
      </w:r>
      <w:r>
        <w:rPr>
          <w:i/>
          <w:iCs/>
        </w:rPr>
        <w:t xml:space="preserve">reasonable belief</w:t>
      </w:r>
      <w:r>
        <w:t xml:space="preserve"> must therefore be a belief about that individual, formed on materials that bear on that individual, and articulated in reasons that address that individual.</w:t>
      </w:r>
    </w:p>
    <w:p>
      <w:pPr>
        <w:spacing w:after="120" w:line="300"/>
        <w:jc w:val="both"/>
      </w:pPr>
      <w:r>
        <w:t xml:space="preserve">The duty to give an individualised assessment is not a novel imposition. It is the implication of three settled principles. First, the rule that a statutory power conferred on a decision-maker must be exercised by reference to the considerations the statute makes mandatory — here, the suitability of the particular person: Minister for Aboriginal Affairs v Peko-Wallsend Ltd (1986) 162 CLR 24. Second, the principle that procedural fairness requires that the case actually decided against a person be a case the person had a meaningful opportunity to meet: SZBEL v Minister for Immigration (2006) 228 CLR 152. Third, the principle that a decision must rest on probative material rather than mere suspicion, and that, in the case of regulatory decisions with grave reputational and economic consequences, the standard of evidentiary care required is elevated: Briginshaw v Briginshaw (1938) 60 CLR 336; Annetts v McCann (1990) 170 CLR 596.</w:t>
      </w:r>
    </w:p>
    <w:p>
      <w:pPr>
        <w:pStyle w:val="Heading2"/>
        <w:spacing w:after="120" w:before="260"/>
      </w:pPr>
      <w:r>
        <w:t xml:space="preserve">3.3  The Commission's own admissions</w:t>
      </w:r>
    </w:p>
    <w:p>
      <w:pPr>
        <w:pStyle w:val="Heading3"/>
        <w:spacing w:after="100" w:before="200"/>
      </w:pPr>
      <w:r>
        <w:t xml:space="preserve">(a) The decision brief EC22-002521 is structured around corporate office, not personal conduct</w:t>
      </w:r>
    </w:p>
    <w:p>
      <w:pPr>
        <w:spacing w:after="120" w:line="300"/>
        <w:jc w:val="both"/>
      </w:pPr>
      <w:r>
        <w:t xml:space="preserve">The Executive Brief that recommended the issuing of the banning order against Mr Reid (EC22-002521, dated 21 December 2022) frames his "unsuitability" by reference to two propositions:</w:t>
      </w:r>
    </w:p>
    <w:p>
      <w:pPr>
        <w:spacing w:after="140" w:before="100" w:line="300"/>
        <w:ind w:left="720" w:right="720"/>
        <w:jc w:val="both"/>
      </w:pPr>
      <w:r>
        <w:rPr>
          <w:i/>
          <w:iCs/>
        </w:rPr>
        <w:t xml:space="preserve">"It is alleged that Mr Reid is not suitable to be involved in the provision of supports or services to people with disability on the basis that Mr Reid, a person who has authority or responsibility for (or significant influence over) planning, directing or controlling the activities of Hybrid Hive Pty Ltd (Hybrid): 1.1 Has authority or responsibility for (or significant influence over) planning, directing or controlling the activities of Hybrid as a Director, an entity under which fraudulent claims for services were submitted to the NDIS; and 1.2 Mr Reid is a joint signatory to the bank accounts of FFG and Hybrid, to which monies for fraudulent claims were paid."</w:t>
      </w:r>
    </w:p>
    <w:p>
      <w:pPr>
        <w:spacing w:after="120" w:line="300"/>
        <w:jc w:val="both"/>
      </w:pPr>
      <w:r>
        <w:t xml:space="preserve">Neither limb is an individualised allegation of conduct. Limb 1 is a derivation: the propositions deployed are corporate ("the activities of Hybrid"; "fraudulent claims" "submitted" — by whom is not specified) attributed to Mr Reid through the medium of his directorship. Limb 2 is a banking arrangement: joint signatory authority. Neither limb identifies what Mr Reid did, what Mr Reid knew, or any specific decision he made. The fundamental moves the statute requires — an assessment of his personal acts, omissions, knowledge, attempts to remediate, or steps to dissociate — are not made.</w:t>
      </w:r>
    </w:p>
    <w:p>
      <w:pPr>
        <w:pStyle w:val="Heading3"/>
        <w:spacing w:after="100" w:before="200"/>
      </w:pPr>
      <w:r>
        <w:t xml:space="preserve">(b) The decision brief copies Vida's case across to Simon</w:t>
      </w:r>
    </w:p>
    <w:p>
      <w:pPr>
        <w:spacing w:after="120" w:line="300"/>
        <w:jc w:val="both"/>
      </w:pPr>
      <w:r>
        <w:t xml:space="preserve">The factual matrix in the EC22-002521 brief is, in substance, the factual matrix lodged by the NDIA in the criminal proceedings against Vida Reid. The brief expressly cross-refers to the Statement of Material Facts dated 19 October 2022 and reproduces its language. The 81 alleged false payment requests, the $1.485M expired-plans figure, and the Goodwin and Clulow allegations are all stated, repeatedly, as conduct of "Ms Reid and Mr Reid" jointly. The brief draws no distinction between the two and identifies no act of Mr Reid that is severable from Mrs Reid's.</w:t>
      </w:r>
    </w:p>
    <w:p>
      <w:pPr>
        <w:pStyle w:val="Heading3"/>
        <w:spacing w:after="100" w:before="200"/>
      </w:pPr>
      <w:r>
        <w:t xml:space="preserve">(c) The internal reviewer conceded that the original decision-maker had misattributed FFG conduct to Mr Reid</w:t>
      </w:r>
    </w:p>
    <w:p>
      <w:pPr>
        <w:spacing w:after="120" w:line="300"/>
        <w:jc w:val="both"/>
      </w:pPr>
      <w:r>
        <w:t xml:space="preserve">Confronting the same record on review, the Complaints Commissioner expressly recognised that Mr Reid was not a director of FFG during the period of the Clulow allegations and concluded (at paragraph 29(i) of Mr Reid's Statement of Reasons):</w:t>
      </w:r>
    </w:p>
    <w:p>
      <w:pPr>
        <w:spacing w:after="140" w:before="100" w:line="300"/>
        <w:ind w:left="720" w:right="720"/>
        <w:jc w:val="both"/>
      </w:pPr>
      <w:r>
        <w:rPr>
          <w:i/>
          <w:iCs/>
        </w:rPr>
        <w:t xml:space="preserve">"I note the original decision-maker took into account the allegations contained in the Statement of Material Facts that relate to FFG having submitted fraudulent claims against the NDIS plan of Ms Sarah-Jane Clulow between 24 November 2021 and 22 June 2022. In my view, this conduct cannot reasonably or appropriately be attributed to Mr Reid given he was not the director of FFG during this period of time (or otherwise responsible for such conduct)."</w:t>
      </w:r>
    </w:p>
    <w:p>
      <w:pPr>
        <w:spacing w:after="120" w:line="300"/>
        <w:jc w:val="both"/>
      </w:pPr>
      <w:r>
        <w:t xml:space="preserve">That is not a marginal correction. It is a concession that the original decision-maker attributed to Mr Reid corporate conduct occurring during a period when he had no formal capacity within the relevant company. It is direct evidence that the decision was not the product of an individualised assessment: had the original decision-maker considered Mr Reid's actual capacity at the relevant time, the misattribution would not have occurred. The internal reviewer made an analogous concession in respect of the 26 August – 21 September 2022 reports of suspicious invoices: she took those into account against Mr Reid "only…to the extent that it relates to Hybrid" — implicitly conceding that the original decision-maker had not made that distinction.</w:t>
      </w:r>
    </w:p>
    <w:p>
      <w:pPr>
        <w:pStyle w:val="Heading3"/>
        <w:spacing w:after="100" w:before="200"/>
      </w:pPr>
      <w:r>
        <w:t xml:space="preserve">(d) The internal reviewer also discounted the headline merits figure</w:t>
      </w:r>
    </w:p>
    <w:p>
      <w:pPr>
        <w:spacing w:after="120" w:line="300"/>
        <w:jc w:val="both"/>
      </w:pPr>
      <w:r>
        <w:t xml:space="preserve">The internal reviewer further conceded that the $1,485,527 "expired plans" figure — the single largest financial allegation made against Mr Reid in his banning order — was not what the original decision-maker had treated it as. Paragraph 29(j) records:</w:t>
      </w:r>
    </w:p>
    <w:p>
      <w:pPr>
        <w:spacing w:after="140" w:before="100" w:line="300"/>
        <w:ind w:left="720" w:right="720"/>
        <w:jc w:val="both"/>
      </w:pPr>
      <w:r>
        <w:rPr>
          <w:i/>
          <w:iCs/>
        </w:rPr>
        <w:t xml:space="preserve">"Similarly, the original decision-maker seems to have given weight to the allegation… that FFG and Hybrid are responsible for $1,485,527 in claims from the expired plans of NDIS participants. However, the original decision-maker had other material before him (specifically, a 'Tactical Intelligence Report' from the NDIA dated 18 August 2022) which acknowledges that it is not known what proportion of these claims against expired plans were for services that were indeed provided. Therefore, I have given minimal weight to this fact."</w:t>
      </w:r>
    </w:p>
    <w:p>
      <w:pPr>
        <w:spacing w:after="120" w:line="300"/>
        <w:jc w:val="both"/>
      </w:pPr>
      <w:r>
        <w:t xml:space="preserve">That paragraph carries two consequences. First, it concedes that the most numerically significant allegation against Mr Reid is contested on the materials and that material favourable to him was before the original decision-maker, who appears not to have engaged with it. Second, the Tactical Intelligence Report referenced is the document the Commission has now subjected to non-disclosure orders (DP Mischin's orders of 26 July 2024) and continues to refuse to produce (AGS letter, 7 May 2026). Its content — to the limited extent the internal reviewer has disclosed it — is favourable to Mr Reid. The continued non-production of a document on which the decision-maker relied and which contains material favourable to Mr Reid is itself, on VEAL v Minister (2005) 225 CLR 88, a procedural fairness defect, and is independently raised by the applicants.</w:t>
      </w:r>
    </w:p>
    <w:p>
      <w:pPr>
        <w:pStyle w:val="Heading3"/>
        <w:spacing w:after="100" w:before="200"/>
      </w:pPr>
      <w:r>
        <w:t xml:space="preserve">(e) The Commission's own witnesses do not implicate Mr Reid personally</w:t>
      </w:r>
    </w:p>
    <w:p>
      <w:pPr>
        <w:spacing w:after="120" w:line="300"/>
        <w:jc w:val="both"/>
      </w:pPr>
      <w:r>
        <w:t xml:space="preserve">The original decision-maker is said to have relied on the sworn statements of Ms Gina Regali (11 October 2022), Mr Hrimnir Benediktsson (12 October 2022) and Ms Jessica Rose Smith (14 October 2022). On any fair reading (and as the filed Statement of Facts, Issues and Contentions develops), none is adverse to Mr Reid. Ms Regali's statement concerns Hybrid conduct preceding Mr Reid's directorship; Mr Benediktsson's statement records ordinary client-onboarding contact and makes no adverse comment; Ms Smith's statement refers to FFG during a period when Mr Reid was not a director and does not implicate Hybrid. The Commission's own witnesses cannot be read as evidence of Mr Reid's personal involvement.</w:t>
      </w:r>
    </w:p>
    <w:p>
      <w:pPr>
        <w:spacing w:after="120" w:line="300"/>
        <w:jc w:val="both"/>
      </w:pPr>
      <w:r>
        <w:t xml:space="preserve">Further: Ms Meghan Goodwin (the participant whose plan is at the centre of the Hybrid allegations) stated to the Commission that "Simon never was involved with providing the services". The internal review records the Commission's own internal description of Mr Reid as the "absent boss most of the time". And Ms Virginie Fanny-Dulloo, on whom the Commission's case against the family otherwise relies, recorded that Mr Reid had "no involvement with FFG". The contemporaneous evidentiary record points to a person who was, at most, a non-executive figure occasionally consulted, not the operative actor the banning order treats him as.</w:t>
      </w:r>
    </w:p>
    <w:p>
      <w:pPr>
        <w:pStyle w:val="Heading2"/>
        <w:spacing w:after="120" w:before="260"/>
      </w:pPr>
      <w:r>
        <w:t xml:space="preserve">3.4  The ASIC record contradicts the Commission's narrative</w:t>
      </w:r>
    </w:p>
    <w:p>
      <w:pPr>
        <w:spacing w:after="120" w:line="300"/>
        <w:jc w:val="both"/>
      </w:pPr>
      <w:r>
        <w:t xml:space="preserve">The ASIC Company Extracts (within the Commission's own bundle, and now expressly relied on by the internal reviewer at paragraph 29 of Mr Reid's Statement of Reasons) are decisive on the temporal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Entity</w:t>
            </w:r>
          </w:p>
        </w:tc>
        <w:tc>
          <w:tcPr>
            <w:tcW w:type="dxa" w:w="4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Mr Reid's period(s) as director</w:t>
            </w:r>
          </w:p>
        </w:tc>
        <w:tc>
          <w:tcPr>
            <w:tcW w:type="dxa" w:w="2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Alleged offending period covered by the ban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FFG</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28 Aug 2020 – 3 Jan 2021; then 1 Nov 2022 – present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26 Nov 2021 – 22 Jun 2022 (per SMF); Clulow claims 24 Nov 2021 – 22 Jun 2022 — expressly excluded by IR (para 29(i))</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Hybrid Hive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17 Feb 2022 – present (co-director until 21 Aug 2022; sole director from 22 Aug 2022)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Goodwin claims 25 Jan 2022 – 10 May 2022; 81 false payment requests 26 Nov 2021 – 22 Jun 2022</w:t>
            </w:r>
          </w:p>
        </w:tc>
      </w:tr>
    </w:tbl>
    <w:p>
      <w:pPr>
        <w:spacing w:after="80" w:line="300"/>
        <w:jc w:val="both"/>
      </w:pPr>
      <w:r>
        <w:t xml:space="preserve"> </w:t>
      </w:r>
    </w:p>
    <w:p>
      <w:pPr>
        <w:spacing w:after="120" w:line="300"/>
        <w:jc w:val="both"/>
      </w:pPr>
      <w:r>
        <w:t xml:space="preserve">Two factual conclusions follow. First, for almost the entire FFG offending window, Mr Reid was not a director — he ceased to be a director on 3 January 2021, more than ten months before the alleged conduct began, and did not return until 1 November 2022 (after the period of alleged offending had closed). Second, for the first 79 days of the Hybrid offending window (and the first three weeks of the Goodwin period), Mr Reid was also not a director. The Commission's own concession in the internal review in respect of FFG (and the parallel concession in Mr Reid's internal review) recognises the first of these limits; it does not engage with the second.</w:t>
      </w:r>
    </w:p>
    <w:p>
      <w:pPr>
        <w:pStyle w:val="Heading2"/>
        <w:spacing w:after="120" w:before="260"/>
      </w:pPr>
      <w:r>
        <w:t xml:space="preserve">3.5  The omission of the decision brief from the tender bundle</w:t>
      </w:r>
    </w:p>
    <w:p>
      <w:pPr>
        <w:spacing w:after="120" w:line="300"/>
        <w:jc w:val="both"/>
      </w:pPr>
      <w:r>
        <w:t xml:space="preserve">From June 2024 (when the tender bundle was filed) until 19 March 2026 (when the Commission lodged supplementary submissions), the principal documentary basis for Mr Reid's banning order was not in evidence before the Tribunal. The Respondent now concedes that the Notice and Statement of Reasons for the original banning order against Simon Reid, briefing notes EC22-002103, EC22-002429 and EC22-002521, three pieces of correspondence from Tom &amp; Co Legal, and the statement of Cassandra Burke were all omitted (Short Supplementary Submissions, 19 March 2026, [15]). The undertaking to file an updated tender bundle by 10 April 2026 was not met.</w:t>
      </w:r>
    </w:p>
    <w:p>
      <w:pPr>
        <w:spacing w:after="120" w:line="300"/>
        <w:jc w:val="both"/>
      </w:pPr>
      <w:r>
        <w:t xml:space="preserve">On 7 May 2026 the AGS supplied informal copies of those documents direct to Mr Reid. The same letter notes that the formal filing of an updated tender bundle is being held until the severance applications are determined — a posture which transfers the cost of the Respondent's earlier omission to the applicants. More significantly, the AGS concurrently filed an application under s 70 of the ART Act 2024 seeking non-disclosure orders over Attachment O to EC22-002103 and Attachment G to EC22-002521 — the legal advice documents that accompanied each of the two Simon-specific briefs. The Commission's case has thus moved from no production to selective production with two strategic withholdings.</w:t>
      </w:r>
    </w:p>
    <w:p>
      <w:pPr>
        <w:spacing w:after="120" w:line="300"/>
        <w:jc w:val="both"/>
      </w:pPr>
      <w:r>
        <w:t xml:space="preserve">The forensic point is twofold. First, the obligation under s 23 of the Administrative Review Tribunal Act 2024 (Cth) (and previously s 37 of the Administrative Appeals Tribunal Act 1975 (Cth)) is to lodge with the Tribunal every document in the decision-maker's possession or control which is relevant to the review of the decision. The omission of Mr Reid's own banning order and the three briefing notes is not capable of being characterised as a minor oversight; it is a serious breach of a statutory disclosure obligation in a matter the Commission has been on notice of since mid-2023. Second, the inference that the case against Mr Reid is thin is reinforced by the Commission's evident difficulty in producing the materials on which the case is said to rest, and is reinforced again by the choice to withhold the contemporaneous legal advice attachments now that the briefs themselves have been produced.</w:t>
      </w:r>
    </w:p>
    <w:p>
      <w:pPr>
        <w:pStyle w:val="Heading2"/>
        <w:spacing w:after="120" w:before="260"/>
      </w:pPr>
      <w:r>
        <w:t xml:space="preserve">3.6  Authorities supporting an individualised-assessment requirement</w:t>
      </w:r>
    </w:p>
    <w:p>
      <w:pPr>
        <w:spacing w:after="120" w:line="300"/>
        <w:jc w:val="both"/>
      </w:pPr>
      <w:r>
        <w:rPr>
          <w:i/>
          <w:iCs/>
        </w:rPr>
        <w:t xml:space="preserve">Frugtniet v ASIC</w:t>
      </w:r>
      <w:r>
        <w:t xml:space="preserve"> (2019) 266 CLR 250: where a statutory power to ban a person from a regulated sector turns on the person's character or suitability, the decision-maker must address the materials bearing on that person and reach a conclusion that is properly anchored in those materials. The High Court emphasised the case-specific quality of the assessment.</w:t>
      </w:r>
    </w:p>
    <w:p>
      <w:pPr>
        <w:spacing w:after="120" w:line="300"/>
        <w:jc w:val="both"/>
      </w:pPr>
      <w:r>
        <w:rPr>
          <w:i/>
          <w:iCs/>
        </w:rPr>
        <w:t xml:space="preserve">Townshend v ASIC</w:t>
      </w:r>
      <w:r>
        <w:t xml:space="preserve"> [2023] AATA 3810: in a closely analogous statutory context, the Tribunal held that a banning decision-maker cannot transpose conduct or findings from corporate proceedings to the individual without considering the individual's own state of mind, capacity and acts. The decision was set aside for that reason.</w:t>
      </w:r>
    </w:p>
    <w:p>
      <w:pPr>
        <w:spacing w:after="120" w:line="300"/>
        <w:jc w:val="both"/>
      </w:pPr>
      <w:r>
        <w:rPr>
          <w:i/>
          <w:iCs/>
        </w:rPr>
        <w:t xml:space="preserve">ASIC v Healey</w:t>
      </w:r>
      <w:r>
        <w:t xml:space="preserve"> (2011) 196 FCR 291 and </w:t>
      </w:r>
      <w:r>
        <w:rPr>
          <w:i/>
          <w:iCs/>
        </w:rPr>
        <w:t xml:space="preserve">Daniels v Anderson</w:t>
      </w:r>
      <w:r>
        <w:t xml:space="preserve"> (1995) 37 NSWLR 438: directors' obligations are personal obligations and the standard of care is referable to the individual director's role and circumstances. Mere office-holding is not enough; specific personal knowledge or conduct must be assessed.</w:t>
      </w:r>
    </w:p>
    <w:p>
      <w:pPr>
        <w:spacing w:after="120" w:line="300"/>
        <w:jc w:val="both"/>
      </w:pPr>
      <w:r>
        <w:rPr>
          <w:i/>
          <w:iCs/>
        </w:rPr>
        <w:t xml:space="preserve">Morley v ASIC</w:t>
      </w:r>
      <w:r>
        <w:t xml:space="preserve"> (2010) 81 ACSR 285: regulatory action against directors must rest on discrete findings as to the director's personal acts or knowledge, not as a reflected glare from corporate misconduct.</w:t>
      </w:r>
    </w:p>
    <w:p>
      <w:pPr>
        <w:spacing w:after="120" w:line="300"/>
        <w:jc w:val="both"/>
      </w:pPr>
      <w:r>
        <w:rPr>
          <w:i/>
          <w:iCs/>
        </w:rPr>
        <w:t xml:space="preserve">Minister for Aboriginal Affairs v Peko-Wallsend Ltd</w:t>
      </w:r>
      <w:r>
        <w:t xml:space="preserve"> (1986) 162 CLR 24: failure to take account of a mandatory relevant consideration (here, the individualised question on which the s 73ZN(2)(a)(iii) power turns) is jurisdictional error.</w:t>
      </w:r>
    </w:p>
    <w:p>
      <w:pPr>
        <w:spacing w:after="120" w:line="300"/>
        <w:jc w:val="both"/>
      </w:pPr>
      <w:r>
        <w:rPr>
          <w:i/>
          <w:iCs/>
        </w:rPr>
        <w:t xml:space="preserve">Annetts v McCann</w:t>
      </w:r>
      <w:r>
        <w:t xml:space="preserve"> (1990) 170 CLR 596 and </w:t>
      </w:r>
      <w:r>
        <w:rPr>
          <w:i/>
          <w:iCs/>
        </w:rPr>
        <w:t xml:space="preserve">Ainsworth v Criminal Justice Commission</w:t>
      </w:r>
      <w:r>
        <w:t xml:space="preserve"> (1992) 175 CLR 564: heightened procedural fairness applies where reputation is engaged, as it plainly is in a banning order publicly entered on the NDIS Provider Register and enforceable by civil penalty.</w:t>
      </w:r>
    </w:p>
    <w:p>
      <w:pPr>
        <w:pStyle w:val="Heading2"/>
        <w:spacing w:after="120" w:before="260"/>
      </w:pPr>
      <w:r>
        <w:t xml:space="preserve">3.7  How to put this on the merits review</w:t>
      </w:r>
    </w:p>
    <w:p>
      <w:pPr>
        <w:spacing w:after="120" w:line="300"/>
        <w:jc w:val="both"/>
      </w:pPr>
      <w:r>
        <w:t xml:space="preserve">On a Shi v Migration Agents Registration Authority (2008) 235 CLR 286 merits review the Tribunal is to make the correct or preferable decision on the materials before it. The applicant's task is therefore not to demonstrate procedural defect at large but to demonstrate that, on the materials now available, no reasonable Tribunal could maintain a banning order against Mr Reid in the terms imposed.</w:t>
      </w:r>
    </w:p>
    <w:p>
      <w:pPr>
        <w:spacing w:after="120" w:line="300"/>
        <w:jc w:val="both"/>
      </w:pPr>
      <w:r>
        <w:t xml:space="preserve">The forensic strategy is to compel the Commission, on cross-examination of its decision-makers and case officer, to identify each document in the bundle that does the following four things: (i) attributes a specific act to Mr Reid (distinct from Mrs Reid or the corporate entities); (ii) identifies a specific date or period when Mr Reid had the capacity in which he is said to have acted; (iii) discloses the Commission's analysis of his individual knowledge or intent; and (iv) discloses any consideration of his ability to dissociate. The applicants' working hypothesis is that the bundle will produce few, if any, documents meeting all four tests.</w:t>
      </w:r>
    </w:p>
    <w:p>
      <w:pPr>
        <w:spacing w:after="120" w:line="300"/>
        <w:jc w:val="both"/>
      </w:pPr>
      <w:r>
        <w:t xml:space="preserve">Where the Commission cannot meet that test, the s 73ZN(2)(a)(iii) standard is not satisfied. The reasonable belief is in substance a reasonable belief about Vida Reid (or about the companies), not about Simon Reid. The Tribunal should accordingly set aside the banning order against Mr Reid; or, in the alternative, remit the matter for fresh decision, with findings the Tribunal would make confined to a recognition that, on the materials now before it, the s 73ZN(2)(a)(iii) test is not made out against Mr Reid personally.</w:t>
      </w:r>
    </w:p>
    <w:p>
      <w:pPr>
        <w:pStyle w:val="Heading1"/>
        <w:spacing w:after="160" w:before="320"/>
      </w:pPr>
      <w:r>
        <w:t xml:space="preserve">4.  Ground 2 — Vida Reid: ultra vires change in statutory ground</w:t>
      </w:r>
    </w:p>
    <w:p>
      <w:pPr>
        <w:pStyle w:val="Heading2"/>
        <w:spacing w:after="120" w:before="260"/>
      </w:pPr>
      <w:r>
        <w:t xml:space="preserve">4.1  The proposition</w:t>
      </w:r>
    </w:p>
    <w:p>
      <w:pPr>
        <w:spacing w:after="120" w:line="300"/>
        <w:jc w:val="both"/>
      </w:pPr>
      <w:r>
        <w:t xml:space="preserve">On 21 April 2023, on internal review under s 100 of the NDIS Act, the Complaints Commissioner (Sian Leathem) issued IR(6) 22/23. The decision is described as a "variation". On its face the decision did two things at once: it changed the statutory ground of Mrs Reid's banning order from s 73ZN(2)(a)(i) of the NDIS Act to s 73ZN(2)(a)(iii); and it broadened the operative prohibition. The first of those moves was not authorised by the power under which the Complaints Commissioner purported to act. It was, in substance, the making of a fresh banning order under a different head of power, without compliance with the antecedent statutory protections that govern the making of such an order. It is on that footing — jurisdictional error in the s 100 review, not merely procedural unfairness — that the variation must be characterised before the Tribunal.</w:t>
      </w:r>
    </w:p>
    <w:p>
      <w:pPr>
        <w:spacing w:after="120" w:line="300"/>
        <w:jc w:val="both"/>
      </w:pPr>
      <w:r>
        <w:t xml:space="preserve">Three propositions are advanced in support of this ground:</w:t>
      </w:r>
    </w:p>
    <w:p>
      <w:pPr>
        <w:pStyle w:val="ListParagraph"/>
        <w:numPr>
          <w:ilvl w:val="0"/>
          <w:numId w:val="2"/>
        </w:numPr>
        <w:spacing w:after="80" w:line="300"/>
        <w:jc w:val="both"/>
      </w:pPr>
      <w:r>
        <w:t xml:space="preserve">(a) s 100 of the NDIS Act does not confer a power to substitute a different statutory ground for the banning order. The power to vary, in s 100(6)(b), is a power to alter the terms or scope of the decision under review, not to make a different decision under a different power;</w:t>
      </w:r>
    </w:p>
    <w:p>
      <w:pPr>
        <w:pStyle w:val="ListParagraph"/>
        <w:numPr>
          <w:ilvl w:val="0"/>
          <w:numId w:val="2"/>
        </w:numPr>
        <w:spacing w:after="80" w:line="300"/>
        <w:jc w:val="both"/>
      </w:pPr>
      <w:r>
        <w:t xml:space="preserve">(b) the substitution of grounds was, in any event, made without the procedural protections that ss 73ZM and 73ZN require when a new decision is to be made under s 73ZN(2)(a)(iii). Mrs Reid was never given a notice of intention identifying (a)(iii) as the proposed ground, never invited to respond to a (a)(iii) case, and never given a reasonable opportunity to address the suitability standard on its own terms; and</w:t>
      </w:r>
    </w:p>
    <w:p>
      <w:pPr>
        <w:pStyle w:val="ListParagraph"/>
        <w:numPr>
          <w:ilvl w:val="0"/>
          <w:numId w:val="2"/>
        </w:numPr>
        <w:spacing w:after="80" w:line="300"/>
        <w:jc w:val="both"/>
      </w:pPr>
      <w:r>
        <w:t xml:space="preserve">(c) the substitution is independently invalid as procedurally unfair under Applicant S v Minister, SZBEL and WZARH: the case actually decided was not the case put to Mrs Reid.</w:t>
      </w:r>
    </w:p>
    <w:p>
      <w:pPr>
        <w:pStyle w:val="Heading2"/>
        <w:spacing w:after="120" w:before="260"/>
      </w:pPr>
      <w:r>
        <w:t xml:space="preserve">4.2  The smoking-gun extract</w:t>
      </w:r>
    </w:p>
    <w:p>
      <w:pPr>
        <w:spacing w:after="120" w:line="300"/>
        <w:jc w:val="both"/>
      </w:pPr>
      <w:r>
        <w:t xml:space="preserve">The vice of the variation is on the face of the decision letter itself. Paragraphs 1–2 of the 21 April 2023 letter from the Complaints Commissioner provide:</w:t>
      </w:r>
    </w:p>
    <w:p>
      <w:pPr>
        <w:spacing w:after="140" w:before="100" w:line="300"/>
        <w:ind w:left="720" w:right="720"/>
        <w:jc w:val="both"/>
      </w:pPr>
      <w:r>
        <w:rPr>
          <w:i/>
          <w:iCs/>
        </w:rPr>
        <w:t xml:space="preserve">"I refer to the email received by the NDIS Quality and Safeguards Commission (the NDIS Commission) on 25 January 2023 requesting an internal review of the decision made on 20 December 2022 to impose a banning order against your client, Ms Vida Reid, for a period of 5 years under section 73ZN(2)(a)(i) of the NDIS Act (the original decision). … The variation I have decided to impose is to: 1. change the legislative basis for the banning order from section 73ZN(2)(a)(i) of the NDIS Act to section 73ZN(2)(a)(iii) instead; and 2. broaden the scope of the banning order to make it explicit that Mrs Reid is to have no involvement with or in the NDIS sector, in any capacity."</w:t>
      </w:r>
    </w:p>
    <w:p>
      <w:pPr>
        <w:spacing w:after="120" w:line="300"/>
        <w:jc w:val="both"/>
      </w:pPr>
      <w:r>
        <w:t xml:space="preserve">Paragraphs 29–30 of the Statement of Reasons that accompany the variation are still more explicit:</w:t>
      </w:r>
    </w:p>
    <w:p>
      <w:pPr>
        <w:spacing w:after="140" w:before="100" w:line="300"/>
        <w:ind w:left="720" w:right="720"/>
        <w:jc w:val="both"/>
      </w:pPr>
      <w:r>
        <w:rPr>
          <w:i/>
          <w:iCs/>
        </w:rPr>
        <w:t xml:space="preserve">"I am of the view that the original decision was the correct and preferable decision to be made, however, I disagree with the basis for the original decision, namely the original decision-maker forming a reasonable belief that Mrs Reid had contravened, was contravening, or likely to contravene the NDIS Act. Section 73ZN(2)(a)(i) allows for a banning order to be made against a person in such circumstances. In my view, the original decision should have been made pursuant to section 73ZN(2)(a)(iii) of the NDIS Act, which provides a banning order can be made where a decision-maker forms a reasonable belief that a person is not suitable to be involved in the provision of supports or services to people with disability."</w:t>
      </w:r>
    </w:p>
    <w:p>
      <w:pPr>
        <w:spacing w:after="120" w:line="300"/>
        <w:jc w:val="both"/>
      </w:pPr>
      <w:r>
        <w:t xml:space="preserve">Paragraph 31 frankly explains the rationale for the switch:</w:t>
      </w:r>
    </w:p>
    <w:p>
      <w:pPr>
        <w:spacing w:after="140" w:before="100" w:line="300"/>
        <w:ind w:left="720" w:right="720"/>
        <w:jc w:val="both"/>
      </w:pPr>
      <w:r>
        <w:rPr>
          <w:i/>
          <w:iCs/>
        </w:rPr>
        <w:t xml:space="preserve">"A banning order on this latter basis accords with the usual approach followed by the NDIS Commission in matters where a person is alleged to have engaged in fraudulent activity against the NDIS (particularly where criminal charges are laid) and is also more consistent with the NDIS Commission's Banning Order Policy."</w:t>
      </w:r>
    </w:p>
    <w:p>
      <w:pPr>
        <w:spacing w:after="120" w:line="300"/>
        <w:jc w:val="both"/>
      </w:pPr>
      <w:r>
        <w:t xml:space="preserve">The fact that the reviewer has switched grounds, why she has switched grounds, and the fact that she now anchors the ban on a different sub-paragraph of s 73ZN(2) than the one on which the original decision-maker proceeded, are all on the face of the document. There is no evidentiary dispute about the variation; what is in dispute is its legal character.</w:t>
      </w:r>
    </w:p>
    <w:p>
      <w:pPr>
        <w:pStyle w:val="Heading2"/>
        <w:spacing w:after="120" w:before="260"/>
      </w:pPr>
      <w:r>
        <w:t xml:space="preserve">4.3  The s 100 power and its limits</w:t>
      </w:r>
    </w:p>
    <w:p>
      <w:pPr>
        <w:spacing w:after="120" w:line="300"/>
        <w:jc w:val="both"/>
      </w:pPr>
      <w:r>
        <w:t xml:space="preserve">Section 100 of the NDIS Act is an internal review provision. On review, the reviewer may </w:t>
      </w:r>
      <w:r>
        <w:rPr>
          <w:i/>
          <w:iCs/>
        </w:rPr>
        <w:t xml:space="preserve">affirm</w:t>
      </w:r>
      <w:r>
        <w:t xml:space="preserve">, </w:t>
      </w:r>
      <w:r>
        <w:rPr>
          <w:i/>
          <w:iCs/>
        </w:rPr>
        <w:t xml:space="preserve">vary</w:t>
      </w:r>
      <w:r>
        <w:t xml:space="preserve"> or </w:t>
      </w:r>
      <w:r>
        <w:rPr>
          <w:i/>
          <w:iCs/>
        </w:rPr>
        <w:t xml:space="preserve">set aside</w:t>
      </w:r>
      <w:r>
        <w:t xml:space="preserve"> the original decision: s 100(6). The power to vary is limited to a power to alter the content or scope of the decision under review; it is not a freestanding power to make a different decision under a different head of substantive power. Where a reviewer wishes to act under a different statutory power, the statute requires that a new exercise of that different power be undertaken, with whatever procedural protections that different power conditions on its exercise.</w:t>
      </w:r>
    </w:p>
    <w:p>
      <w:pPr>
        <w:spacing w:after="120" w:line="300"/>
        <w:jc w:val="both"/>
      </w:pPr>
      <w:r>
        <w:t xml:space="preserve">In the banning-order regime, the procedural protections that apply when a s 73ZN(2)(a)(iii) order is to be made are not trivial: s 73ZM imposes a duty to give written notice of the proposed action, to set out the grounds, and to provide a reasonable opportunity to respond. The 19 November 2022 notice of intention against Mrs Reid identified s 73ZN(2)(a)(i) as the proposed ground. She was never given a notice of intention identifying (a)(iii). The submissions she was invited to make addressed contravention, not suitability.</w:t>
      </w:r>
    </w:p>
    <w:p>
      <w:pPr>
        <w:spacing w:after="120" w:line="300"/>
        <w:jc w:val="both"/>
      </w:pPr>
      <w:r>
        <w:t xml:space="preserve">The internal reviewer expressly recognised, at paragraph 27 of the Vida Statement of Reasons, that on 22 March 2023 she wrote to Mr Monks proposing to vary the order in light of "new information" (the Dream Big Employment registration). But the 22 March 2023 letter did not propose to switch the statutory ground. It proposed (only) to broaden the scope of the order to address the new information. That is a material distinction. The ground-switch was not flagged. Mrs Reid was not invited to respond to a (a)(iii) case. The Complaints Commissioner moved from a (a)(i) proceeding to a (a)(iii) decision without ever putting the (a)(iii) case to the applicant.</w:t>
      </w:r>
    </w:p>
    <w:p>
      <w:pPr>
        <w:pStyle w:val="Heading2"/>
        <w:spacing w:after="120" w:before="260"/>
      </w:pPr>
      <w:r>
        <w:t xml:space="preserve">4.4  The two operations are not the same</w:t>
      </w:r>
    </w:p>
    <w:p>
      <w:pPr>
        <w:spacing w:after="120" w:line="300"/>
        <w:jc w:val="both"/>
      </w:pPr>
      <w:r>
        <w:t xml:space="preserve">It matters that s 73ZN(2)(a)(i) and s 73ZN(2)(a)(iii) are different statutory operations. They are not synonyms or alternative ways of pleading the same conclusion.</w:t>
      </w:r>
    </w:p>
    <w:p>
      <w:pPr>
        <w:spacing w:after="120" w:line="300"/>
        <w:jc w:val="both"/>
      </w:pPr>
      <w:r>
        <w:t xml:space="preserve">Sub-paragraph (a)(i) — "the person has contravened, is contravening, or is likely to contravene this Act" — engages a question of conduct against an objective normative standard fixed by the Act or the Rules. The question is whether the conduct, established on probative evidence, falls within the four corners of a prohibition the Act creates. Briginshaw considerations apply to allegations of contravention because the consequence of finding the conduct is a finding of misconduct against the law.</w:t>
      </w:r>
    </w:p>
    <w:p>
      <w:pPr>
        <w:spacing w:after="120" w:line="300"/>
        <w:jc w:val="both"/>
      </w:pPr>
      <w:r>
        <w:t xml:space="preserve">Sub-paragraph (a)(iii) — "the person is not suitable to be involved in the provision of supports or services" — engages a broader, more evaluative question of the person's overall fitness and suitability, capable of being made out on a wider range of materials (including criminal allegations, character matters, regulatory history). It is the test invoked by the Commission's own Banning Order Policy in cases where criminal charges have been laid but not determined, precisely because the Policy contemplates that (a)(iii) supports a more provisional, protective conclusion than (a)(i) — which requires actual or likely contravention.</w:t>
      </w:r>
    </w:p>
    <w:p>
      <w:pPr>
        <w:spacing w:after="120" w:line="300"/>
        <w:jc w:val="both"/>
      </w:pPr>
      <w:r>
        <w:t xml:space="preserve">Those are different statutory questions with different evidentiary frameworks and different procedural fairness corollaries. The applicants are entitled, before an adverse decision is made under either, to know which statutory question is being decided and to address themselves to that question. The Complaints Commissioner's own reasons admit, by her use of "this latter basis" at paragraph 31, that the two grounds are functionally distinct — one is the usual ground when fraud is alleged but not proven, the other when contravention is established.</w:t>
      </w:r>
    </w:p>
    <w:p>
      <w:pPr>
        <w:pStyle w:val="Heading2"/>
        <w:spacing w:after="120" w:before="260"/>
      </w:pPr>
      <w:r>
        <w:t xml:space="preserve">4.5  The authorities</w:t>
      </w:r>
    </w:p>
    <w:p>
      <w:pPr>
        <w:spacing w:after="120" w:line="300"/>
        <w:jc w:val="both"/>
      </w:pPr>
      <w:r>
        <w:rPr>
          <w:i/>
          <w:iCs/>
        </w:rPr>
        <w:t xml:space="preserve">Frugtniet v ASIC</w:t>
      </w:r>
      <w:r>
        <w:t xml:space="preserve"> (2019) 266 CLR 250: a regulator cannot, in defending or reviewing a decision, substitute a different statutory test for the test that was actually applied. The procedural fairness that is owed attaches to the test actually being decided.</w:t>
      </w:r>
    </w:p>
    <w:p>
      <w:pPr>
        <w:spacing w:after="120" w:line="300"/>
        <w:jc w:val="both"/>
      </w:pPr>
      <w:r>
        <w:rPr>
          <w:i/>
          <w:iCs/>
        </w:rPr>
        <w:t xml:space="preserve">Applicant S v Minister for Immigration and Multicultural Affairs</w:t>
      </w:r>
      <w:r>
        <w:t xml:space="preserve"> (2004) 217 CLR 387: a decision cannot be sustained on a basis different from that actually relied on. The affected person must have an opportunity to address the case as it is actually put.</w:t>
      </w:r>
    </w:p>
    <w:p>
      <w:pPr>
        <w:spacing w:after="120" w:line="300"/>
        <w:jc w:val="both"/>
      </w:pPr>
      <w:r>
        <w:rPr>
          <w:i/>
          <w:iCs/>
        </w:rPr>
        <w:t xml:space="preserve">SZBEL v Minister</w:t>
      </w:r>
      <w:r>
        <w:t xml:space="preserve"> (2006) 228 CLR 152: the issues to be addressed on review must be put to the affected person. A change in the issues — particularly to a different sub-paragraph or a different statutory criterion — engages an obligation to identify and put the new case.</w:t>
      </w:r>
    </w:p>
    <w:p>
      <w:pPr>
        <w:spacing w:after="120" w:line="300"/>
        <w:jc w:val="both"/>
      </w:pPr>
      <w:r>
        <w:rPr>
          <w:i/>
          <w:iCs/>
        </w:rPr>
        <w:t xml:space="preserve">Minister for Immigration and Border Protection v WZARH</w:t>
      </w:r>
      <w:r>
        <w:t xml:space="preserve"> (2015) 256 CLR 326: the obligation of procedural fairness attaches to the case actually being run. A post hoc reconstruction is not a substitute for an opportunity to be heard on the case that was actually decided.</w:t>
      </w:r>
    </w:p>
    <w:p>
      <w:pPr>
        <w:spacing w:after="120" w:line="300"/>
        <w:jc w:val="both"/>
      </w:pPr>
      <w:r>
        <w:rPr>
          <w:i/>
          <w:iCs/>
        </w:rPr>
        <w:t xml:space="preserve">Townshend v ASIC</w:t>
      </w:r>
      <w:r>
        <w:t xml:space="preserve"> [2023] AATA 3810: where a reviewer purports to re-anchor a banning decision on a different ground, the absence of an opportunity to address the new ground is a discrete defect, separately reviewable.</w:t>
      </w:r>
    </w:p>
    <w:p>
      <w:pPr>
        <w:spacing w:after="120" w:line="300"/>
        <w:jc w:val="both"/>
      </w:pPr>
      <w:r>
        <w:rPr>
          <w:i/>
          <w:iCs/>
        </w:rPr>
        <w:t xml:space="preserve">Craig v South Australia</w:t>
      </w:r>
      <w:r>
        <w:t xml:space="preserve"> (1995) 184 CLR 163 and </w:t>
      </w:r>
      <w:r>
        <w:rPr>
          <w:i/>
          <w:iCs/>
        </w:rPr>
        <w:t xml:space="preserve">Kirk v Industrial Court (NSW)</w:t>
      </w:r>
      <w:r>
        <w:t xml:space="preserve"> (2010) 239 CLR 531: misidentification of the nature of the power being exercised — here, the s 100 review power as a power to make a fresh s 73ZN decision under a different ground — is jurisdictional error.</w:t>
      </w:r>
    </w:p>
    <w:p>
      <w:pPr>
        <w:spacing w:after="120" w:line="300"/>
        <w:jc w:val="both"/>
      </w:pPr>
      <w:r>
        <w:rPr>
          <w:i/>
          <w:iCs/>
        </w:rPr>
        <w:t xml:space="preserve">Hossain v Minister</w:t>
      </w:r>
      <w:r>
        <w:t xml:space="preserve"> (2018) 264 CLR 123: the threshold of materiality for jurisdictional error is met where, but for the error, the decision could realistically have been different. Here, the ground-switch is plainly material: it is the very thing that allows the ban to survive after the s 73ZN(2)(a)(i) (contravention) basis was abandoned.</w:t>
      </w:r>
    </w:p>
    <w:p>
      <w:pPr>
        <w:pStyle w:val="Heading2"/>
        <w:spacing w:after="120" w:before="260"/>
      </w:pPr>
      <w:r>
        <w:t xml:space="preserve">4.6  Two consequences</w:t>
      </w:r>
    </w:p>
    <w:p>
      <w:pPr>
        <w:pStyle w:val="Heading3"/>
        <w:spacing w:after="100" w:before="200"/>
      </w:pPr>
      <w:r>
        <w:t xml:space="preserve">(a) Jurisdictional error rather than merely procedural unfairness</w:t>
      </w:r>
    </w:p>
    <w:p>
      <w:pPr>
        <w:spacing w:after="120" w:line="300"/>
        <w:jc w:val="both"/>
      </w:pPr>
      <w:r>
        <w:t xml:space="preserve">In the Final Submission filed in September 2025 (Section F), the variation is characterised as procedurally unfair and as a misuse of the s 73ZO variation power. That is right so far as it goes but it understates the vice. The point is jurisdictional. A purported s 100 review that is in substance a fresh s 73ZN decision under a different sub-paragraph exceeds the s 100 power. The downstream consequence is that the "reviewed" decision is void; not voidable for unfairness. There is nothing for the merits review to perfect through acceptance or rectify through further submissions. The original decision, in turn, rested on s 73ZN(2)(a)(i) — a ground the Complaints Commissioner herself recorded as the wrong ground. With the (a)(i) basis abandoned and no valid (a)(iii) decision ever lawfully made, there is no operative banning order against Mrs Reid.</w:t>
      </w:r>
    </w:p>
    <w:p>
      <w:pPr>
        <w:spacing w:after="120" w:line="300"/>
        <w:jc w:val="both"/>
      </w:pPr>
      <w:r>
        <w:t xml:space="preserve">There is a residual question whether the variation was effected under s 100 or under s 73ZO. The Complaints Commissioner's letter and her Statement of Reasons describe the exercise as a s 100 internal review, but the filed Final Submission (Section F) characterises it as a s 73ZO variation. The applicant should plead the ground in the alternative: if the exercise was under s 100, it was jurisdictional error (s 100 does not authorise a ground-switch); if it was under s 73ZO, it was likewise outside power (s 73ZO is concerned with variation or revocation of an extant banning order, not with substituting its statutory foundation) and was procedurally unfair (no s 73ZM-style notice). On either view, the variation is invalid.</w:t>
      </w:r>
    </w:p>
    <w:p>
      <w:pPr>
        <w:pStyle w:val="Heading3"/>
        <w:spacing w:after="100" w:before="200"/>
      </w:pPr>
      <w:r>
        <w:t xml:space="preserve">(b) The Respondent's answer is insufficient</w:t>
      </w:r>
    </w:p>
    <w:p>
      <w:pPr>
        <w:spacing w:after="120" w:line="300"/>
        <w:jc w:val="both"/>
      </w:pPr>
      <w:r>
        <w:t xml:space="preserve">The Respondent's Short Supplementary Submissions of 19 March 2026 address the Vida ground-switch only in passing. At paragraph 6 the Respondent submits that Mrs Reid's complaints about the variation "are misconceived" because "the review before the Tribunal is not a judicial review, but rather a merits review" and that Mrs Reid "will be provided the opportunity to provide a response relating to the banning order at the final hearing".</w:t>
      </w:r>
    </w:p>
    <w:p>
      <w:pPr>
        <w:spacing w:after="120" w:line="300"/>
        <w:jc w:val="both"/>
      </w:pPr>
      <w:r>
        <w:t xml:space="preserve">That answer is unresponsive. The point is not that procedural fairness was denied to Mrs Reid at the original decision (although that point is also live). The point is that the s 100 review was made under a different statutory ground than the original decision, with the effect that no decision under (a)(iii) was ever lawfully made. Merits review on a Shi basis cannot retrospectively confer power on a decision-maker who lacked it. The Tribunal stands in the shoes of the decision-maker on the law as it stood at the time of the decision under review and on the materials now available; if no valid decision was ever made, there is nothing the Tribunal can affirm. The Tribunal's task is to set aside.</w:t>
      </w:r>
    </w:p>
    <w:p>
      <w:pPr>
        <w:spacing w:after="120" w:line="300"/>
        <w:jc w:val="both"/>
      </w:pPr>
      <w:r>
        <w:t xml:space="preserve">Further, the Respondent's framing ignores the collapse of the s 73ZN(2)(a)(i) basis. The CDPP discontinued all charges against Mrs Reid on 23 February 2024. The s 73ZN(2)(a)(i) reasonable belief — that Mrs Reid had contravened, was contravening, or was likely to contravene the Act — cannot now be maintained on the materials. The Respondent has not (and on the current state of the record cannot) re-anchor the ban on (a)(i). The (a)(iii) re-anchoring made on 21 April 2023 is therefore not merely procedurally defective: it is the only thing keeping the ban operative, and it was an exercise outside power.</w:t>
      </w:r>
    </w:p>
    <w:p>
      <w:pPr>
        <w:pStyle w:val="Heading1"/>
        <w:spacing w:after="160" w:before="320"/>
      </w:pPr>
      <w:r>
        <w:t xml:space="preserve">5.  How the two grounds interlock</w:t>
      </w:r>
    </w:p>
    <w:p>
      <w:pPr>
        <w:spacing w:after="120" w:line="300"/>
        <w:jc w:val="both"/>
      </w:pPr>
      <w:r>
        <w:t xml:space="preserve">The two grounds are independent — each can stand alone — but they reinforce each other materially. First, the internal review by the Complaints Commissioner is, on the materials, the principal exercise of forensic care in the entire administrative pathway. If her exercise of the s 100 power is unlawful (Ground 2), there is no exercise of the power that can be said to have rectified the absence of an individualised assessment of Mr Reid (Ground 1). Second, the very rationale the Complaints Commissioner gives for switching the ground in Mrs Reid's case — that (a)(iii) is more apt where criminal charges have been laid but not determined — is now undermined by events. All criminal charges against Mrs Reid were discontinued by the CDPP on 23 February 2024. The Banning Order Policy rationale evaporates. Third, the Commission's case against Mr Reid was, in form, derivative of the case against Mrs Reid: when the Vida (a)(iii) decision falls away, the basis on which Mr Reid was "swept along" with her falls away too.</w:t>
      </w:r>
    </w:p>
    <w:p>
      <w:pPr>
        <w:spacing w:after="120" w:line="300"/>
        <w:jc w:val="both"/>
      </w:pPr>
      <w:r>
        <w:t xml:space="preserve">In short, the two grounds operate as a pincer movement: Mr Reid was never the subject of an individualised assessment in the first place; Mrs Reid's case has lost its statutory foundation through an unlawful variation; and there is no operative path back through the s 100 power that can repair either defect without the Commission starting again at the s 73ZM notice stage.</w:t>
      </w:r>
    </w:p>
    <w:p>
      <w:pPr>
        <w:pStyle w:val="Heading1"/>
        <w:spacing w:after="160" w:before="320"/>
      </w:pPr>
      <w:r>
        <w:t xml:space="preserve">6.  The broader context — same-day coordination, improper purpose, and political timing</w:t>
      </w:r>
    </w:p>
    <w:p>
      <w:pPr>
        <w:spacing w:after="120" w:line="300"/>
        <w:jc w:val="both"/>
      </w:pPr>
      <w:r>
        <w:t xml:space="preserve">The two grounds at Sections 3 and 4 stand on their own as procedural and substantive defects. They are reinforced — and their comprehensiveness explained — by a third dimension of the case: that the original decisions were made on a 19 October 2022 same-day footing, against a December 2022 ministerial announcement window, in a political environment in which the regulator was being marshalled for narrative purposes that went beyond its protective statutory mandate. The Padfield/Toohey line of authority makes that environment legally relevant: where the dominant purpose for which a statutory power is exercised is foreign to the purpose for which the power was conferred, the exercise is invalid.</w:t>
      </w:r>
    </w:p>
    <w:p>
      <w:pPr>
        <w:pStyle w:val="Heading2"/>
        <w:spacing w:after="120" w:before="260"/>
      </w:pPr>
      <w:r>
        <w:t xml:space="preserve">6.1  The 19 October 2022 same-day pattern</w:t>
      </w:r>
    </w:p>
    <w:p>
      <w:pPr>
        <w:spacing w:after="120" w:line="300"/>
        <w:jc w:val="both"/>
      </w:pPr>
      <w:r>
        <w:t xml:space="preserve">19 October 2022 was the day Ms Vida Reid was arrested at Armadale Police Station and appeared in the Armadale Magistrates Court. The same day, Mr Halton signed Executive Brief EC22-002000; issued the suspension of FFG's NDIS registration with immediate effect; issued the notice of intention to revoke FFG's registration; and issued the notice of intention to make a banning order against Ms Reid for ten years. The sequence is recorded expressly at paragraph 12 of the subsequent EC22-002581 decision brief.</w:t>
      </w:r>
    </w:p>
    <w:p>
      <w:pPr>
        <w:spacing w:after="120" w:line="300"/>
        <w:jc w:val="both"/>
      </w:pPr>
      <w:r>
        <w:t xml:space="preserve">The multi-agency coordination required to achieve that cadence — the Commission's brief signed and acted on; the NDIA's investigation feeding into the Statement of Material Facts of 19 October 2022; the AFP arrest and CDPP charging; the Magistrates Court appearance — does not occur by accident. The 19 October 2022 date was chosen for impact: either the criminal arrest was timed to coincide with the regulatory action, or the regulatory action was timed to coincide with the criminal arrest. Either way, the date carries an inference of coordinated stage management.</w:t>
      </w:r>
    </w:p>
    <w:p>
      <w:pPr>
        <w:pStyle w:val="Heading2"/>
        <w:spacing w:after="120" w:before="260"/>
      </w:pPr>
      <w:r>
        <w:t xml:space="preserve">6.2  The December announcement window</w:t>
      </w:r>
    </w:p>
    <w:p>
      <w:pPr>
        <w:spacing w:after="120" w:line="300"/>
        <w:jc w:val="both"/>
      </w:pPr>
      <w:r>
        <w:t xml:space="preserve">The substantive banning orders were concentrated in the days before the ministerial announcement. Ms Reid's banning order was made on 20 December 2022. The orders against Mr Reid, FFG, Hybrid, Hive, EFS, Sahar &amp; Simon Pty Ltd and Malibuhouse were made on 21 December 2022. The joint Ministerial-Commission media release of 23 December 2022 followed two days later, in the dead news week before Christmas — a window characterised by minimal media scrutiny and maximum sympathetic coverage.</w:t>
      </w:r>
    </w:p>
    <w:p>
      <w:pPr>
        <w:spacing w:after="120" w:line="300"/>
        <w:jc w:val="both"/>
      </w:pPr>
      <w:r>
        <w:t xml:space="preserve">The brief's own internal cadence reflected the timing pressure. EC22-002103 (the Project Archer brief signed by Mr Halton on 17 November 2022) proposed at paragraph 20.1–20.2 a 21-day notice period for submissions (14 days plus 7 days postage). The actual notice letters were dated 19 November 2022 with a 30 November 2022 deadline — 11 days. The Commission halved its own brief's recommended timeframe, which gave it a window to make the substantive decisions in early-to-mid December for ministerial announcement before Christmas.</w:t>
      </w:r>
    </w:p>
    <w:p>
      <w:pPr>
        <w:pStyle w:val="Heading2"/>
        <w:spacing w:after="120" w:before="260"/>
      </w:pPr>
      <w:r>
        <w:t xml:space="preserve">6.3  The brief's own admissions</w:t>
      </w:r>
    </w:p>
    <w:p>
      <w:pPr>
        <w:spacing w:after="120" w:line="300"/>
        <w:jc w:val="both"/>
      </w:pPr>
      <w:r>
        <w:t xml:space="preserve">Three contemporaneous admissions in EC22-002000 are revealing when read against this timing. At paragraph 4 of Risks/Sensitivities the brief records:</w:t>
      </w:r>
    </w:p>
    <w:p>
      <w:pPr>
        <w:spacing w:after="140" w:before="100" w:line="300"/>
        <w:ind w:left="720" w:right="720"/>
        <w:jc w:val="both"/>
      </w:pPr>
      <w:r>
        <w:rPr>
          <w:i/>
          <w:iCs/>
        </w:rPr>
        <w:t xml:space="preserve">"It is likely that the Commission's action against the Provider and individual may be viewed as quite strong given that the complaints and breaches focus on administrative and personal errors."</w:t>
      </w:r>
    </w:p>
    <w:p>
      <w:pPr>
        <w:spacing w:after="120" w:line="300"/>
        <w:jc w:val="both"/>
      </w:pPr>
      <w:r>
        <w:t xml:space="preserve">That is the Commission acknowledging, on the face of the originating brief, that its action was disproportionate to what the conduct actually was. At paragraph 5 the brief records:</w:t>
      </w:r>
    </w:p>
    <w:p>
      <w:pPr>
        <w:spacing w:after="140" w:before="100" w:line="300"/>
        <w:ind w:left="720" w:right="720"/>
        <w:jc w:val="both"/>
      </w:pPr>
      <w:r>
        <w:rPr>
          <w:i/>
          <w:iCs/>
        </w:rPr>
        <w:t xml:space="preserve">"The individuals involved have participated in local (WA) meetings with Federal Ministers. If the Commission decides to proceed to the completion of the notices then the loss of income will be substantial. Historical interactions with the individual/s indicate that the Commission should be prepared for a retaliatory response."</w:t>
      </w:r>
    </w:p>
    <w:p>
      <w:pPr>
        <w:spacing w:after="120" w:line="300"/>
        <w:jc w:val="both"/>
      </w:pPr>
      <w:r>
        <w:t xml:space="preserve">And at paragraph 3.4:</w:t>
      </w:r>
    </w:p>
    <w:p>
      <w:pPr>
        <w:spacing w:after="140" w:before="100" w:line="300"/>
        <w:ind w:left="720" w:right="720"/>
        <w:jc w:val="both"/>
      </w:pPr>
      <w:r>
        <w:rPr>
          <w:i/>
          <w:iCs/>
        </w:rPr>
        <w:t xml:space="preserve">"a considerations document (Attachment 1D) has been generated to clearly separate information being used to support a contravention from information being used to support a 'state of mind'."</w:t>
      </w:r>
    </w:p>
    <w:p>
      <w:pPr>
        <w:spacing w:after="120" w:line="300"/>
        <w:jc w:val="both"/>
      </w:pPr>
      <w:r>
        <w:t xml:space="preserve">The first admission concedes the disproportion. The second discloses awareness of political sensitivity and the prospect of pushback. The third confirms that the raw evidence was mixed and had to be reformatted before it could support the proposed action.</w:t>
      </w:r>
    </w:p>
    <w:p>
      <w:pPr>
        <w:pStyle w:val="Heading2"/>
        <w:spacing w:after="120" w:before="260"/>
      </w:pPr>
      <w:r>
        <w:t xml:space="preserve">6.4  The post-decision political deployment</w:t>
      </w:r>
    </w:p>
    <w:p>
      <w:pPr>
        <w:spacing w:after="120" w:line="300"/>
        <w:jc w:val="both"/>
      </w:pPr>
      <w:r>
        <w:t xml:space="preserve">The 23 December 2022 ministerial media release tied the Reid matter directly to the broader political project. The Minister for the NDIS (the Hon. Bill Shorten MP) was quoted as saying:</w:t>
      </w:r>
    </w:p>
    <w:p>
      <w:pPr>
        <w:spacing w:after="140" w:before="100" w:line="300"/>
        <w:ind w:left="720" w:right="720"/>
        <w:jc w:val="both"/>
      </w:pPr>
      <w:r>
        <w:rPr>
          <w:i/>
          <w:iCs/>
        </w:rPr>
        <w:t xml:space="preserve">"These actions taken by the NDIS Commission demonstrate the Government's commitment to protecting participants from NDIS providers who do the wrong thing. … For years the Liberals were asleep at the wheel. I am happy the watchdog is doing what it should — protecting the interests of Australians with disability. A warning to NDIS fraudsters stealing from people with a disability and taxpayers — the easy ride is over."</w:t>
      </w:r>
    </w:p>
    <w:p>
      <w:pPr>
        <w:spacing w:after="120" w:line="300"/>
        <w:jc w:val="both"/>
      </w:pPr>
      <w:r>
        <w:t xml:space="preserve">The release expressly tied the action to the expansion of the Fraud Fusion Taskforce, which the Minister described as a scaled-up approach to be applied across the sector. The Commissioner's quoted comment characterised the action as "swift" — a term that, against the documentary record of the same-day suspension and notice of intention on 19 October 2022, has documentary support.</w:t>
      </w:r>
    </w:p>
    <w:p>
      <w:pPr>
        <w:spacing w:after="120" w:line="300"/>
        <w:jc w:val="both"/>
      </w:pPr>
      <w:r>
        <w:t xml:space="preserve">In 2023, after the Reid actions, the Minister engaged the strategy firm RedBridge to test "narrative" framings for the NDIS reform agenda. The RedBridge advice (later reported in The Saturday Paper of 27 July 2024) was that the saleable framing was "rorts, fraud, and spiralling costs". That framing was then deployed as the platform for the 2024 budget reductions of $14.4 billion to the NDIS. The Saturday Paper of 11 January 2025 subsequently reported that only about 1.05% of the forecast $19 billion savings came from the fraud crackdown — the larger portion came from removing children from the scheme. The Reid matter was an early example of the kind of high-profile bust the political campaign required for credibility.</w:t>
      </w:r>
    </w:p>
    <w:p>
      <w:pPr>
        <w:pStyle w:val="Heading2"/>
        <w:spacing w:after="120" w:before="260"/>
      </w:pPr>
      <w:r>
        <w:t xml:space="preserve">6.5  The legal framework</w:t>
      </w:r>
    </w:p>
    <w:p>
      <w:pPr>
        <w:spacing w:after="120" w:line="300"/>
        <w:jc w:val="both"/>
      </w:pPr>
      <w:r>
        <w:t xml:space="preserve">The s 73ZN banning power is conferred on the Commissioner for the protective regulatory purpose of safeguarding NDIS participants. Where a statutory power is exercised for a purpose foreign to that for which it is conferred — or where the dominant purpose is improper — the exercise is invalid.</w:t>
      </w:r>
    </w:p>
    <w:p>
      <w:pPr>
        <w:spacing w:after="120" w:line="300"/>
        <w:jc w:val="both"/>
      </w:pPr>
      <w:r>
        <w:rPr>
          <w:i/>
          <w:iCs/>
        </w:rPr>
        <w:t xml:space="preserve">Padfield v Minister of Agriculture</w:t>
      </w:r>
      <w:r>
        <w:t xml:space="preserve"> [1968] AC 997: the foundational authority on improper purpose. A statutory discretion must be exercised to promote the policy and objects of the Act; an exercise of discretion for an extraneous purpose is invalid.</w:t>
      </w:r>
    </w:p>
    <w:p>
      <w:pPr>
        <w:spacing w:after="120" w:line="300"/>
        <w:jc w:val="both"/>
      </w:pPr>
      <w:r>
        <w:rPr>
          <w:i/>
          <w:iCs/>
        </w:rPr>
        <w:t xml:space="preserve">R v Toohey; Ex parte Northern Land Council</w:t>
      </w:r>
      <w:r>
        <w:t xml:space="preserve"> (1981) 151 CLR 170: administrative power exercised for a purpose foreign to the statute is invalid.</w:t>
      </w:r>
    </w:p>
    <w:p>
      <w:pPr>
        <w:spacing w:after="120" w:line="300"/>
        <w:jc w:val="both"/>
      </w:pPr>
      <w:r>
        <w:rPr>
          <w:i/>
          <w:iCs/>
        </w:rPr>
        <w:t xml:space="preserve">Thompson v Randwick Corporation</w:t>
      </w:r>
      <w:r>
        <w:t xml:space="preserve"> (1950) 81 CLR 87: the multiple-purpose doctrine — where a decision is made for more than one purpose, the dominant improper purpose vitiates the exercise.</w:t>
      </w:r>
    </w:p>
    <w:p>
      <w:pPr>
        <w:spacing w:after="120" w:line="300"/>
        <w:jc w:val="both"/>
      </w:pPr>
      <w:r>
        <w:rPr>
          <w:i/>
          <w:iCs/>
        </w:rPr>
        <w:t xml:space="preserve">Sanders v Snell</w:t>
      </w:r>
      <w:r>
        <w:t xml:space="preserve"> (1998) 196 CLR 329: statutory powers may not be used to punish; their use for that purpose is invalid.</w:t>
      </w:r>
    </w:p>
    <w:p>
      <w:pPr>
        <w:spacing w:after="120" w:line="300"/>
        <w:jc w:val="both"/>
      </w:pPr>
      <w:r>
        <w:rPr>
          <w:i/>
          <w:iCs/>
        </w:rPr>
        <w:t xml:space="preserve">Minister for Immigration and Citizenship v Li</w:t>
      </w:r>
      <w:r>
        <w:t xml:space="preserve"> (2013) 249 CLR 332: a decision lacking an evident and intelligible justification on the materials is legally unreasonable and invalid.</w:t>
      </w:r>
    </w:p>
    <w:p>
      <w:pPr>
        <w:pStyle w:val="Heading2"/>
        <w:spacing w:after="120" w:before="260"/>
      </w:pPr>
      <w:r>
        <w:t xml:space="preserve">6.6  How this bears on the two principal grounds</w:t>
      </w:r>
    </w:p>
    <w:p>
      <w:pPr>
        <w:spacing w:after="120" w:line="300"/>
        <w:jc w:val="both"/>
      </w:pPr>
      <w:r>
        <w:t xml:space="preserve">The political-timing context does not displace Grounds 1 and 2. It explains them. The procedural and substantive defects identified in those grounds — the truncated notice period, the joint attribution to "Ms Reid and Mr Reid" without individualised inquiry, the (a)(i) to (a)(iii) ground-switch on internal review, the late disclosure of decision-record documents, the selective non-disclosure of the Tactical Intelligence Report and the legal-advice attachments, the maintenance of the bans after the CDPP discontinuance — are intelligible as the consequence of a process required to deliver decisions to a political announcement window.</w:t>
      </w:r>
    </w:p>
    <w:p>
      <w:pPr>
        <w:spacing w:after="120" w:line="300"/>
        <w:jc w:val="both"/>
      </w:pPr>
      <w:r>
        <w:t xml:space="preserve">That context does three things for the case before the Tribunal. First, it provides documentary anchoring for a Padfield / Toohey / Sanders argument that the dominant purpose for which the power was exercised was, at least in part and arguably dominantly, foreign to the statute. Second, it reinforces the legal-unreasonableness analysis under Li — a banning order that lacks an evident and intelligible justification on the materials but is intelligible as the product of a political purpose is unreasonable in the requisite sense. Third, it weakens the Commission's claim to deference: where the regulator is acting in a politically directed environment to deliver high-profile bust material, the customary judicial reticence about administrative judgment does not run with full strength.</w:t>
      </w:r>
    </w:p>
    <w:p>
      <w:pPr>
        <w:pStyle w:val="Heading2"/>
        <w:spacing w:after="120" w:before="260"/>
      </w:pPr>
      <w:r>
        <w:t xml:space="preserve">6.7  Tactical framing</w:t>
      </w:r>
    </w:p>
    <w:p>
      <w:pPr>
        <w:spacing w:after="120" w:line="300"/>
        <w:jc w:val="both"/>
      </w:pPr>
      <w:r>
        <w:t xml:space="preserve">A direct political-motive submission to the Tribunal carries risk. The right framing for hearing is the administrative-law framing of Padfield and Toohey: purpose foreign to the statute; multiple purposes with a dominant improper one; the documentary record of the same-day coordination, the December announcement window, and the brief's own admissions about the disproportion of action to conduct. The RedBridge material is best held in reserve and deployed only if the Respondent submits at hearing that the bans were made in good faith for purely protective regulatory purposes — at which point the broader environment is squarely in issue.</w:t>
      </w:r>
    </w:p>
    <w:p>
      <w:pPr>
        <w:spacing w:after="120" w:line="300"/>
        <w:jc w:val="both"/>
      </w:pPr>
      <w:r>
        <w:t xml:space="preserve">The 19 October 2022 same-day coordination is itself a fact that can be pleaded without political framing. The brief, the suspension notice, and the notices of intention all bear that date. The arrest and Magistrates Court appearance are matters of public record. Calm presentation of the documentary chronology will allow the Tribunal to draw its own inferences without the applicants overreaching into characterisations the documentary record cannot bear.</w:t>
      </w:r>
    </w:p>
    <w:p>
      <w:pPr>
        <w:pStyle w:val="Heading1"/>
        <w:spacing w:after="160" w:before="320"/>
      </w:pPr>
      <w:r>
        <w:t xml:space="preserve">7.  How the Commission's strongest counter-arguments should be met</w:t>
      </w:r>
    </w:p>
    <w:p>
      <w:pPr>
        <w:pStyle w:val="Heading2"/>
        <w:spacing w:after="120" w:before="260"/>
      </w:pPr>
      <w:r>
        <w:t xml:space="preserve">7.1  "Merits review cures any defect"</w:t>
      </w:r>
    </w:p>
    <w:p>
      <w:pPr>
        <w:spacing w:after="120" w:line="300"/>
        <w:jc w:val="both"/>
      </w:pPr>
      <w:r>
        <w:t xml:space="preserve">The Respondent's principal answer to both grounds is the Shi merits-review point: that the Tribunal will determine the correct or preferable decision afresh, on the materials before it, and that any defect in the administrative path is cured by the Tribunal's own re-decision. That answer is contestable on two levels.</w:t>
      </w:r>
    </w:p>
    <w:p>
      <w:pPr>
        <w:spacing w:after="120" w:line="300"/>
        <w:jc w:val="both"/>
      </w:pPr>
      <w:r>
        <w:t xml:space="preserve">First, Shi merits review repairs many things but it does not confer power on a decision-maker who lacked it. Where the vice is jurisdictional (Ground 2) the Tribunal's role is not to affirm or vary the decision but to recognise that there is no decision capable of being affirmed. The Tribunal's task on the variation point is therefore to set aside the 21 April 2023 "review decision" and to make findings consistent with the absence of any operative (a)(iii) decision.</w:t>
      </w:r>
    </w:p>
    <w:p>
      <w:pPr>
        <w:spacing w:after="120" w:line="300"/>
        <w:jc w:val="both"/>
      </w:pPr>
      <w:r>
        <w:t xml:space="preserve">Second, even on a strict Shi-merits view, the Tribunal must make the correct or preferable decision on the materials. The applicant's task on Ground 1 is precisely to show that, on the materials now available, no reasonable Tribunal could uphold a banning order in the terms imposed against Mr Reid. The Commission's case against Mr Reid is thin on individualised content, contradicted by its own witnesses, conceded to be misattributed in part, and has now lost the criminal-prosecution prop on which it leaned.</w:t>
      </w:r>
    </w:p>
    <w:p>
      <w:pPr>
        <w:pStyle w:val="Heading2"/>
        <w:spacing w:after="120" w:before="260"/>
      </w:pPr>
      <w:r>
        <w:t xml:space="preserve">7.2  "Section 73ZN(2)(a)(iii) is broad enough to capture Mr Reid as a director"</w:t>
      </w:r>
    </w:p>
    <w:p>
      <w:pPr>
        <w:spacing w:after="120" w:line="300"/>
        <w:jc w:val="both"/>
      </w:pPr>
      <w:r>
        <w:t xml:space="preserve">The Commission may submit (and in its Statement of Reasons does submit) that directorship plus joint signatory authority is enough, of itself, to ground unsuitability under (a)(iii). The answer is that the statute uses the phrase "not suitable to be involved in the provision of supports or services" as an evaluative standard requiring an individualised consideration of the person's actual conduct, knowledge and remediation steps. Healey, Daniels v Anderson and Morley all reject the proposition that mere office-holding will support a personal regulatory sanction. The Commission's reasons do not address Mr Reid's actual knowledge, the steps he took (or could have taken) to inform himself, his attempts at dissociation, his role in a household where the operational responsibility for the businesses was Mrs Reid's, or the evidence of the Commission's own witnesses that Mr Reid was not operationally engaged.</w:t>
      </w:r>
    </w:p>
    <w:p>
      <w:pPr>
        <w:pStyle w:val="Heading2"/>
        <w:spacing w:after="120" w:before="260"/>
      </w:pPr>
      <w:r>
        <w:t xml:space="preserve">7.3  "The variation power is broad enough to change the ground"</w:t>
      </w:r>
    </w:p>
    <w:p>
      <w:pPr>
        <w:spacing w:after="120" w:line="300"/>
        <w:jc w:val="both"/>
      </w:pPr>
      <w:r>
        <w:t xml:space="preserve">The Commission may submit (consistent with paragraph 31 of the Vida internal review) that the Banning Order Policy contemplates (a)(iii) as the usual ground where criminal charges have been laid, and that the Complaints Commissioner was therefore entitled to align the legal basis with the practice. The answer is that the Policy cannot expand the s 100 power. If s 100 does not authorise a switch of statutory ground (as is submitted), Policy cannot remedy the want of power. In any event, the variation power must be exercised consistently with procedural fairness; even if a switch were within power, it could only be effected after a fresh notice under s 73ZM identifying the new ground and inviting submissions on it. None of that occurred.</w:t>
      </w:r>
    </w:p>
    <w:p>
      <w:pPr>
        <w:pStyle w:val="Heading2"/>
        <w:spacing w:after="120" w:before="260"/>
      </w:pPr>
      <w:r>
        <w:t xml:space="preserve">7.4  "The protective purpose of the banning regime favours the order remaining in place"</w:t>
      </w:r>
    </w:p>
    <w:p>
      <w:pPr>
        <w:spacing w:after="120" w:line="300"/>
        <w:jc w:val="both"/>
      </w:pPr>
      <w:r>
        <w:t xml:space="preserve">The Commission may rely on the protective character of the banning power: the participants are vulnerable, the regulator's role is precautionary, and the Tribunal should be slow to lift orders made in furtherance of that purpose. The answer is that the protective purpose does not authorise a defective process. Where the foundations of the order — the (a)(i) ground for Mrs Reid; the individualised case for Mr Reid — have been removed, the protective purpose cannot rescue the order: the protective purpose is served by ordering the Commission to re-do its work properly, not by leaving in place orders that the Commission has acknowledged to rest on misattribution and to have been re-anchored without proper procedural rigour. The point is reinforced by s 181D(4)(b) NDIS Act, which itself requires that compliance and enforcement activities be conducted in a risk-responsive and proportionate manner.</w:t>
      </w:r>
    </w:p>
    <w:p>
      <w:pPr>
        <w:pStyle w:val="Heading2"/>
        <w:spacing w:after="120" w:before="260"/>
      </w:pPr>
      <w:r>
        <w:t xml:space="preserve">7.5  "The political-timing material is irrelevant to merits review"</w:t>
      </w:r>
    </w:p>
    <w:p>
      <w:pPr>
        <w:spacing w:after="120" w:line="300"/>
        <w:jc w:val="both"/>
      </w:pPr>
      <w:r>
        <w:t xml:space="preserve">The Commission will likely submit that the political environment in which the original decisions were made is not a matter for the Tribunal on a merits review. The answer is that the Padfield / Toohey / Sanders principles operate to characterise the original exercise of power as invalid where the dominant purpose was improper. That is not a political objection; it is an administrative-law objection that goes to the validity of the underlying decision. On Shi, the Tribunal stands in the shoes of the decision-maker and makes the correct or preferable decision on the materials. If those materials disclose, on their face, that the original decision was made for a purpose foreign to the statute, that is a matter properly before the Tribunal.</w:t>
      </w:r>
    </w:p>
    <w:p>
      <w:pPr>
        <w:pStyle w:val="Heading1"/>
        <w:spacing w:after="160" w:before="320"/>
      </w:pPr>
      <w:r>
        <w:t xml:space="preserve">8.  Relief and recommended order of attack</w:t>
      </w:r>
    </w:p>
    <w:p>
      <w:pPr>
        <w:pStyle w:val="Heading2"/>
        <w:spacing w:after="120" w:before="260"/>
      </w:pPr>
      <w:r>
        <w:t xml:space="preserve">8.1  Relief sought</w:t>
      </w:r>
    </w:p>
    <w:p>
      <w:pPr>
        <w:spacing w:after="120" w:line="300"/>
        <w:jc w:val="both"/>
      </w:pPr>
      <w:r>
        <w:t xml:space="preserve">On Ground 1, the relief sought is that the Tribunal set aside the banning order against Mr Reid and substitute a decision that no banning order should be made; alternatively, that the Tribunal remit the decision to the Commission for fresh consideration in accordance with reasons that direct attention to the individualised standard imposed by s 73ZN(2)(a)(iii).</w:t>
      </w:r>
    </w:p>
    <w:p>
      <w:pPr>
        <w:spacing w:after="120" w:line="300"/>
        <w:jc w:val="both"/>
      </w:pPr>
      <w:r>
        <w:t xml:space="preserve">On Ground 2, the relief sought is that the Tribunal set aside the 21 April 2023 internal review decision in respect of Mrs Reid; recognise that no valid decision under s 73ZN(2)(a)(iii) has ever been made against her; and (because the (a)(i) basis has been abandoned and is in any event no longer supportable on the materials following the CDPP's discontinuance of the criminal charges) declare that there is no operative banning order against her.</w:t>
      </w:r>
    </w:p>
    <w:p>
      <w:pPr>
        <w:spacing w:after="120" w:line="300"/>
        <w:jc w:val="both"/>
      </w:pPr>
      <w:r>
        <w:t xml:space="preserve">In each case, ancillary orders should include: (a) the removal of the applicants from the NDIS Provider Register pursuant to s 73ZS; (b) a costs order against the Respondent for the conduct of the proceedings in respect of the supplementary disclosure; and (c) the discharge of the non-disclosure orders made by DP Mischin on 26 July 2024 over the Tactical Intelligence Report — Project Archer, on the footing that the document is plainly relevant, the internal reviewer has herself acknowledged that it contains material favourable to Mr Reid, and the principle in VEAL v Minister (2005) 225 CLR 88 requires its disclosure.</w:t>
      </w:r>
    </w:p>
    <w:p>
      <w:pPr>
        <w:pStyle w:val="Heading2"/>
        <w:spacing w:after="120" w:before="260"/>
      </w:pPr>
      <w:r>
        <w:t xml:space="preserve">8.2  Immediate procedural tasks (May–June 2026)</w:t>
      </w:r>
    </w:p>
    <w:p>
      <w:pPr>
        <w:pStyle w:val="ListParagraph"/>
        <w:numPr>
          <w:ilvl w:val="0"/>
          <w:numId w:val="2"/>
        </w:numPr>
        <w:spacing w:after="80" w:line="300"/>
        <w:jc w:val="both"/>
      </w:pPr>
      <w:r>
        <w:t xml:space="preserve">Respond by approximately 21 May 2026 to the s 70 application over Attachment O to EC22-002103 and Attachment G to EC22-002521. The opposition is structured around four grounds: Mann v Carnell waiver (reinforced by the three categories of already-disclosed legal-advice content in the original tender bundle — EC22-002000 paragraphs 3.1–3.4, the SL1/SL2 tracked-change comments, and the Attachment 1D considerations document); Goldberg v Ng selective disclosure; DSE (Holdings) issue waiver; and the s 70(2) discretion under VEAL.</w:t>
      </w:r>
    </w:p>
    <w:p>
      <w:pPr>
        <w:pStyle w:val="ListParagraph"/>
        <w:numPr>
          <w:ilvl w:val="0"/>
          <w:numId w:val="2"/>
        </w:numPr>
        <w:spacing w:after="80" w:line="300"/>
        <w:jc w:val="both"/>
      </w:pPr>
      <w:r>
        <w:t xml:space="preserve">Prepare an application under s 86 ART Act 2024 for discharge or variation of the 26 July 2024 non-disclosure orders over the Tactical Intelligence Report — Project Archer, relying on VEAL principles and on the internal reviewer's own acknowledgement that the Report contains material favourable to Mr Reid.</w:t>
      </w:r>
    </w:p>
    <w:p>
      <w:pPr>
        <w:pStyle w:val="ListParagraph"/>
        <w:numPr>
          <w:ilvl w:val="0"/>
          <w:numId w:val="2"/>
        </w:numPr>
        <w:spacing w:after="80" w:line="300"/>
        <w:jc w:val="both"/>
      </w:pPr>
      <w:r>
        <w:t xml:space="preserve">Once the severance decision is handed down, request the Respondent's promised updated tender bundle and confirm that briefing notes EC22-002103, EC22-002429 and EC22-002521 are produced in unredacted form, together with Mr Reid's Notice and Statement of Reasons and the three pieces of Tom &amp; Co correspondence.</w:t>
      </w:r>
    </w:p>
    <w:p>
      <w:pPr>
        <w:pStyle w:val="ListParagraph"/>
        <w:numPr>
          <w:ilvl w:val="0"/>
          <w:numId w:val="2"/>
        </w:numPr>
        <w:spacing w:after="80" w:line="300"/>
        <w:jc w:val="both"/>
      </w:pPr>
      <w:r>
        <w:t xml:space="preserve">Prepare an Amended Statement of Facts, Issues and Contentions (for Mr Reid) and an Amended Statement of Facts, Issues and Contentions (for Mrs Reid). Each should plead, as the first ground, the matters developed in this note, with the broader-context analysis at Section 6 included as a discrete additional ground of improper purpose / legal unreasonableness.</w:t>
      </w:r>
    </w:p>
    <w:p>
      <w:pPr>
        <w:pStyle w:val="ListParagraph"/>
        <w:numPr>
          <w:ilvl w:val="0"/>
          <w:numId w:val="2"/>
        </w:numPr>
        <w:spacing w:after="80" w:line="300"/>
        <w:jc w:val="both"/>
      </w:pPr>
      <w:r>
        <w:t xml:space="preserve">Adduce the ASIC Company Extracts for Hybrid Hive and FFG by way of supplementary evidence, with a one-page chronology of Mr Reid's directorship periods aligned against the periods of alleged conduct. Adduce the CDPP's 23 February 2024 discontinuance of charges against Mrs Reid, with the open-court record. Adduce the 23 December 2022 joint ministerial-Commission media release as documentary evidence of the political deployment of the decisions.</w:t>
      </w:r>
    </w:p>
    <w:p>
      <w:pPr>
        <w:pStyle w:val="Heading2"/>
        <w:spacing w:after="120" w:before="260"/>
      </w:pPr>
      <w:r>
        <w:t xml:space="preserve">8.3  Hearing sequencing</w:t>
      </w:r>
    </w:p>
    <w:p>
      <w:pPr>
        <w:spacing w:after="120" w:line="300"/>
        <w:jc w:val="both"/>
      </w:pPr>
      <w:r>
        <w:t xml:space="preserve">The recommended order of attack at the substantive hearing is as follows. First, open on Ground 2 (the variation): it is the cleanest, most documentary point, and an early forensic win on the (a)(iii) re-anchoring sets the frame for the cross-examination that follows. Second, cross-examine the Complaints Commissioner (Sian Leathem) on her understanding of the s 100 power, the absence of any (a)(iii) notice under s 73ZM, and the rationale for the ground-switch. Third, cross-examine the original decision-maker (Philip Halton) on the EC22-002521 decision brief: identify each paragraph that purports to attribute conduct to Mr Reid personally and test whether the attribution survives the ASIC record. Fourth, address the merits proper, with the case re-framed: the only conduct properly attributable to Mr Reid is conduct within the periods of his directorship of Hybrid (17 February 2022 onwards), and even within that period the Commission's witnesses describe him as an "absent boss" without operational engagement. Fifth, only if necessary, deploy the Section 6 material as a discrete additional ground of improper purpose.</w:t>
      </w:r>
    </w:p>
    <w:p>
      <w:pPr>
        <w:pStyle w:val="Heading1"/>
        <w:spacing w:after="160" w:before="320"/>
      </w:pPr>
      <w:r>
        <w:t xml:space="preserve">9.  End goals, redress, and the long view</w:t>
      </w:r>
    </w:p>
    <w:p>
      <w:pPr>
        <w:spacing w:after="120" w:line="300"/>
        <w:jc w:val="both"/>
      </w:pPr>
      <w:r>
        <w:t xml:space="preserve">The substantive forensic analysis at Sections 3–6 is built around the question whether the banning orders can be set aside. That is the immediate task. But the case has been running since December 2022; the applicants have suffered substantial reputational, financial and personal harm; and the resolution of the ART matter is not the end of the story. This section addresses three further dimensions: what success in the ART would actually achieve for the Reids; the pathways to redress beyond the ART; and how the matter could over time be turned to the applicants' advantage.</w:t>
      </w:r>
    </w:p>
    <w:p>
      <w:pPr>
        <w:pStyle w:val="Heading2"/>
        <w:spacing w:after="120" w:before="260"/>
      </w:pPr>
      <w:r>
        <w:t xml:space="preserve">9.1  What success in the ART would actually achieve</w:t>
      </w:r>
    </w:p>
    <w:p>
      <w:pPr>
        <w:spacing w:after="120" w:line="300"/>
        <w:jc w:val="both"/>
      </w:pPr>
      <w:r>
        <w:t xml:space="preserve">The orders sought at Section 8.1 — set-aside of the banning orders against Mr and Mrs Reid, recognition that no valid (a)(iii) decision against Mrs Reid has been made, removal from the NDIS Provider Register, costs — are the immediate end goal. Each carries practical and reputational consequences.</w:t>
      </w:r>
    </w:p>
    <w:p>
      <w:pPr>
        <w:spacing w:after="120" w:line="300"/>
        <w:jc w:val="both"/>
      </w:pPr>
      <w:r>
        <w:t xml:space="preserve">The orders themselves. Set-aside ends the operational prohibition on involvement in the NDIS sector. As at the date the orders are set aside, the applicants are free to provide services, hold key personnel positions, and (if Mr Reid chooses) seek registration of a corporate vehicle. That is the substantive freedom that has been denied since December 2022.</w:t>
      </w:r>
    </w:p>
    <w:p>
      <w:pPr>
        <w:spacing w:after="120" w:line="300"/>
        <w:jc w:val="both"/>
      </w:pPr>
      <w:r>
        <w:t xml:space="preserve">Removal from the NDIS Provider Register. Section 73ZS of the NDIS Act requires the Commission to maintain the Register. Entries about banning orders are published online. Set-aside without removal would leave a residual reputational footprint. The Tribunal should be asked, as part of the orders sought, to direct the Commission to take all necessary steps to remove the entries against the applicants and against the affected corporate entities.</w:t>
      </w:r>
    </w:p>
    <w:p>
      <w:pPr>
        <w:spacing w:after="120" w:line="300"/>
        <w:jc w:val="both"/>
      </w:pPr>
      <w:r>
        <w:t xml:space="preserve">Costs. The ART is a costs-neutral jurisdiction by default under s 105 of the ART Act 2024, but the Tribunal retains discretion to make costs orders in particular circumstances. The Respondent's disclosure conduct — the three-year omission of the Simon-specific documents, the late and selective 7 May 2026 disclosure, the s 70 application over already-comparable advice content — supplies a basis for the costs discretion to be exercised against the Respondent here. A costs order would not make the applicants whole, but it would mark the Tribunal's view of the conduct.</w:t>
      </w:r>
    </w:p>
    <w:p>
      <w:pPr>
        <w:spacing w:after="120" w:line="300"/>
        <w:jc w:val="both"/>
      </w:pPr>
      <w:r>
        <w:t xml:space="preserve">Public record. A set-aside decision with reasons will be published. For self-represented applicants who have spent more than three years contesting these orders, the publication of reasons that vindicate them is not merely a procedural fact — it is the documentary basis for everything that follows.</w:t>
      </w:r>
    </w:p>
    <w:p>
      <w:pPr>
        <w:pStyle w:val="Heading2"/>
        <w:spacing w:after="120" w:before="260"/>
      </w:pPr>
      <w:r>
        <w:t xml:space="preserve">9.2  Realistic outcomes in the ART</w:t>
      </w:r>
    </w:p>
    <w:p>
      <w:pPr>
        <w:spacing w:after="120" w:line="300"/>
        <w:jc w:val="both"/>
      </w:pPr>
      <w:r>
        <w:t xml:space="preserve">Across the spectrum of possible outcomes, the realistic distribution is approximately: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rPr>
              <w:t xml:space="preserve">Outcome</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rPr>
              <w:t xml:space="preserve">Probability</w:t>
            </w:r>
          </w:p>
        </w:tc>
        <w:tc>
          <w:tcPr>
            <w:tcW w:type="dxa" w:w="4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rPr>
              <w:t xml:space="preserve">What it looks like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Full set-aside (orders quashed) for both Simon and Vida; removal from the Register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25–35%</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Reasons that find the variation ultra vires and the individualised assessment not made out; Register entries removed; possible costs order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Partial set-aside (e.g., Simon's order set aside; Vida's varied or remitted)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30–40%</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More likely than full set-aside because Vida's case has the criminal-charge history overhang notwithstanding the discontinuance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Remittal to the Commission for fresh decision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20–30%</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Tribunal finds procedural defects and remits; Commission must restart at s 73ZM with proper notice and individualised assessment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 orders upheld (worst case)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5–15%</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Requires Tribunal to find no procedural defect, valid (a)(iii) re-anchoring, and individualised assessment made out — unlikely on the materials</w:t>
            </w:r>
          </w:p>
        </w:tc>
      </w:tr>
    </w:tbl>
    <w:p>
      <w:pPr>
        <w:spacing w:after="80" w:line="300"/>
        <w:jc w:val="both"/>
      </w:pPr>
      <w:r>
        <w:t xml:space="preserve"> </w:t>
      </w:r>
    </w:p>
    <w:p>
      <w:pPr>
        <w:spacing w:after="120" w:line="300"/>
        <w:jc w:val="both"/>
      </w:pPr>
      <w:r>
        <w:t xml:space="preserve">The base case is that the applicants achieve material relief. The question is what shape it takes. Even in the remittal scenario, the Commission would face the same evidentiary record on a fresh decision — with the CDPP discontinuance, the conceded misattribution, the witness recantation, and the Project Archer Report's contents all part of the redo. Remittal is not the worst case; it is a different path to the same destination.</w:t>
      </w:r>
    </w:p>
    <w:p>
      <w:pPr>
        <w:pStyle w:val="Heading2"/>
        <w:spacing w:after="120" w:before="260"/>
      </w:pPr>
      <w:r>
        <w:t xml:space="preserve">9.3  Pathways to redress beyond the ART</w:t>
      </w:r>
    </w:p>
    <w:p>
      <w:pPr>
        <w:spacing w:after="120" w:line="300"/>
        <w:jc w:val="both"/>
      </w:pPr>
      <w:r>
        <w:t xml:space="preserve">The ART can set aside the orders. It cannot award damages, formally censure the regulator, or order compensation for the losses the applicants have suffered. Those are the work of other forums.</w:t>
      </w:r>
    </w:p>
    <w:p>
      <w:pPr>
        <w:spacing w:after="120" w:line="300"/>
        <w:jc w:val="both"/>
      </w:pPr>
      <w:r>
        <w:t xml:space="preserve">Federal Court — judicial review under s 39B Judiciary Act 1903. If the ART outcome is anything less than full set-aside, or if the matter is significantly delayed, s 39B remains available for jurisdictional error against an officer of the Commonwealth. The grounds developed at Sections 4 and 6 are also Federal Court grounds. The Federal Court can grant declarations, prohibition and injunctive relief.</w:t>
      </w:r>
    </w:p>
    <w:p>
      <w:pPr>
        <w:spacing w:after="120" w:line="300"/>
        <w:jc w:val="both"/>
      </w:pPr>
      <w:r>
        <w:t xml:space="preserve">Federal Court — misfeasance in public office. The tort recognised in </w:t>
      </w:r>
      <w:r>
        <w:rPr>
          <w:i/>
          <w:iCs/>
        </w:rPr>
        <w:t xml:space="preserve">Northern Territory v Mengel</w:t>
      </w:r>
      <w:r>
        <w:t xml:space="preserve"> (1995) 185 CLR 307 and developed in </w:t>
      </w:r>
      <w:r>
        <w:rPr>
          <w:i/>
          <w:iCs/>
        </w:rPr>
        <w:t xml:space="preserve">Sanders v Snell</w:t>
      </w:r>
      <w:r>
        <w:t xml:space="preserve"> (1998) 196 CLR 329 requires (a) the holder of a public office, (b) exercising a power, (c) with knowledge that the exercise was unauthorised (or reckless indifference), (d) causing harm. The case is hard to make out — the requirement of subjective knowledge or recklessness is a high bar — but the documentary record now available (the EC22-002000 brief's admission that the action was "quite strong" relative to "administrative and personal errors"; the truncation of the brief's own recommended notice period; the SL1 comment recording awareness of "the legal risk of procedural fairness being relied upon as grounds to challenge the decision"; the post-discontinuance maintenance of the bans) creates a plausible factual basis for pleading. The action would be brought against the decision-makers personally and against the Commonwealth on the principle of vicarious liability.</w:t>
      </w:r>
    </w:p>
    <w:p>
      <w:pPr>
        <w:spacing w:after="120" w:line="300"/>
        <w:jc w:val="both"/>
      </w:pPr>
      <w:r>
        <w:t xml:space="preserve">Federal Court — negligence in the exercise of statutory power. Following </w:t>
      </w:r>
      <w:r>
        <w:rPr>
          <w:i/>
          <w:iCs/>
        </w:rPr>
        <w:t xml:space="preserve">Crimmins v Stevedoring Industry Finance Committee</w:t>
      </w:r>
      <w:r>
        <w:t xml:space="preserve"> (1999) 200 CLR 1, a duty of care can attach to the exercise of statutory powers in some circumstances. The applicants' position — that the Commission was on notice of legal risk, ignored its own recommended notice period, made decisions on a thin evidentiary base, and maintained those decisions after the criminal foundation collapsed — is the kind of factual pattern </w:t>
      </w:r>
      <w:r>
        <w:rPr>
          <w:i/>
          <w:iCs/>
        </w:rPr>
        <w:t xml:space="preserve">Crimmins</w:t>
      </w:r>
      <w:r>
        <w:t xml:space="preserve"> contemplates. Duty of care is more difficult to establish than misfeasance, but damages quantification is more straightforward.</w:t>
      </w:r>
    </w:p>
    <w:p>
      <w:pPr>
        <w:spacing w:after="120" w:line="300"/>
        <w:jc w:val="both"/>
      </w:pPr>
      <w:r>
        <w:t xml:space="preserve">Administrative Decisions (Judicial Review) Act 1977 (ADJR Act). The 28-day time bar has long closed and the prospects of an extension under s 11(1)(c) are weak after more than three years. ADJR is not a viable pathway.</w:t>
      </w:r>
    </w:p>
    <w:p>
      <w:pPr>
        <w:spacing w:after="120" w:line="300"/>
        <w:jc w:val="both"/>
      </w:pPr>
      <w:r>
        <w:t xml:space="preserve">Commonwealth Ombudsman. The Ombudsman can investigate maladministration by Commonwealth agencies and produce a report with findings and recommendations. The Ombudsman cannot award damages or set aside the orders, but a finding of maladministration carries political and reputational weight. The complaint pathway is open at any time and does not affect the ART proceedings.</w:t>
      </w:r>
    </w:p>
    <w:p>
      <w:pPr>
        <w:spacing w:after="120" w:line="300"/>
        <w:jc w:val="both"/>
      </w:pPr>
      <w:r>
        <w:t xml:space="preserve">Australian Human Rights Commission. The applicants already have a complaint on foot via William Cocks. The AHRC's conciliation processes may produce an undertaking from the Commonwealth or a recommendation; they cannot make binding orders but can produce settlement.</w:t>
      </w:r>
    </w:p>
    <w:p>
      <w:pPr>
        <w:spacing w:after="120" w:line="300"/>
        <w:jc w:val="both"/>
      </w:pPr>
      <w:r>
        <w:t xml:space="preserve">Act of Grace payment — Public Governance, Performance and Accountability Act 2013 (Cth), s 65. Where Commonwealth conduct has caused detriment in circumstances warranting special consideration, the Finance Minister can authorise an ex gratia payment. Act of Grace applications are not subject to time limits and don't require proof of a tort. They are discretionary, but the application creates a structured opportunity for the Commonwealth to acknowledge harm and provide compensation without admitting liability.</w:t>
      </w:r>
    </w:p>
    <w:p>
      <w:pPr>
        <w:spacing w:after="120" w:line="300"/>
        <w:jc w:val="both"/>
      </w:pPr>
      <w:r>
        <w:t xml:space="preserve">Parliamentary mechanisms. Petition to the Senate; submission to the Senate Standing Committee on Community Affairs (which has oversight of disability services and the NDIS Commission); approach to a sympathetic Senator or Member with a request for parliamentary questions. These mechanisms cannot directly compensate but can create political pressure for an administrative resolution.</w:t>
      </w:r>
    </w:p>
    <w:p>
      <w:pPr>
        <w:spacing w:after="120" w:line="300"/>
        <w:jc w:val="both"/>
      </w:pPr>
      <w:r>
        <w:t xml:space="preserve">Public-interest litigation funders and disability advocacy organisations. Once the ART matter is resolved in the applicants' favour, third-party funding for a subsequent damages action becomes more accessible. People with Disability Australia, the Public Interest Advocacy Centre and similar organisations may be interested in a case that establishes principles around the proper exercise of the s 73ZN power.</w:t>
      </w:r>
    </w:p>
    <w:p>
      <w:pPr>
        <w:pStyle w:val="Heading2"/>
        <w:spacing w:after="120" w:before="260"/>
      </w:pPr>
      <w:r>
        <w:t xml:space="preserve">9.4  The damages question</w:t>
      </w:r>
    </w:p>
    <w:p>
      <w:pPr>
        <w:spacing w:after="120" w:line="300"/>
        <w:jc w:val="both"/>
      </w:pPr>
      <w:r>
        <w:t xml:space="preserve">What was lost. The financial harm includes: revenue from FFG and Hybrid that ceased in December 2022; the value of the property trusts (Malibuhouse, Sahar &amp; Simon) that became unleasable to NDIS providers; the legal fees expended on the proceedings since December 2022; the cost of replacing income for over three years; and the costs of the ABF stop and FOI matter. Vida's affidavit material (January 2025) and the ANZ statement (sale of properties) in the workspace folder are the starting documentary base for quantification.</w:t>
      </w:r>
    </w:p>
    <w:p>
      <w:pPr>
        <w:spacing w:after="120" w:line="300"/>
        <w:jc w:val="both"/>
      </w:pPr>
      <w:r>
        <w:t xml:space="preserve">What is harder to quantify but real. Reputational damage from the NDIS Provider Register publication and the 23 December 2022 ministerial media release. Harm to family relationships and to the children's experience of being part of an investigated household. The 75% reduction in the NDIS plan for the Reids' severely disabled son. The fact of having been stopped at Perth airport on 25 September 2024 in front of the children. Vida's MS diagnosis and the stress impact on a person with an existing health condition.</w:t>
      </w:r>
    </w:p>
    <w:p>
      <w:pPr>
        <w:spacing w:after="120" w:line="300"/>
        <w:jc w:val="both"/>
      </w:pPr>
      <w:r>
        <w:t xml:space="preserve">Tactical considerations on a damages claim. A damages claim should not be brought until the ART matter is resolved in the applicants' favour, because (a) the ART findings will be evidence in the subsequent action, (b) the Commission may be more disposed to settle once the ART has spoken, and (c) the cause of action accrues continuously while the orders are in force. Filing while the ART proceedings are live invites a stay of the damages action pending the ART outcome.</w:t>
      </w:r>
    </w:p>
    <w:p>
      <w:pPr>
        <w:pStyle w:val="Heading2"/>
        <w:spacing w:after="120" w:before="260"/>
      </w:pPr>
      <w:r>
        <w:t xml:space="preserve">9.5  Reputational restoration</w:t>
      </w:r>
    </w:p>
    <w:p>
      <w:pPr>
        <w:spacing w:after="120" w:line="300"/>
        <w:jc w:val="both"/>
      </w:pPr>
      <w:r>
        <w:t xml:space="preserve">Even with the orders set aside, the public record of the 23 December 2022 ministerial media release and the NDIS Provider Register entries will continue to circulate online. Reputational restoration is a separate task.</w:t>
      </w:r>
    </w:p>
    <w:p>
      <w:pPr>
        <w:spacing w:after="120" w:line="300"/>
        <w:jc w:val="both"/>
      </w:pPr>
      <w:r>
        <w:t xml:space="preserve">The Commission's media archive. The applicants can request the Commission take down or update the 23 December 2022 release on its website. If refused, the request itself is reviewable under the AAT/ART regime.</w:t>
      </w:r>
    </w:p>
    <w:p>
      <w:pPr>
        <w:spacing w:after="120" w:line="300"/>
        <w:jc w:val="both"/>
      </w:pPr>
      <w:r>
        <w:t xml:space="preserve">The ministers.dss.gov.au archive. The DSS Ministers media archive contains the 23 December 2022 release at URL /media-releases/9961. Requesting a correction or update is appropriate once the ART matter resolves. The applicants do not need the consent of the Commission to engage directly with DSS on this.</w:t>
      </w:r>
    </w:p>
    <w:p>
      <w:pPr>
        <w:spacing w:after="120" w:line="300"/>
        <w:jc w:val="both"/>
      </w:pPr>
      <w:r>
        <w:t xml:space="preserve">Search engine results. Australian privacy law (the Australian Privacy Principles under the Privacy Act 1988) gives some leverage to seek de-indexing of materials that are inaccurate, out of date, or no longer relevant. </w:t>
      </w:r>
      <w:r>
        <w:rPr>
          <w:i/>
          <w:iCs/>
        </w:rPr>
        <w:t xml:space="preserve">Trkulja v Google LLC</w:t>
      </w:r>
      <w:r>
        <w:t xml:space="preserve"> (2018) 263 CLR 149 establishes that defamation can attach to search results in some circumstances.</w:t>
      </w:r>
    </w:p>
    <w:p>
      <w:pPr>
        <w:spacing w:after="120" w:line="300"/>
        <w:jc w:val="both"/>
      </w:pPr>
      <w:r>
        <w:t xml:space="preserve">The professional context. Many of the participant complaints described in the briefing notes pre-date Mr Reid's directorship of Hybrid. A formal statement, supported by ASIC records and the internal reviewer's concessions, would assist in subsequent professional engagements.</w:t>
      </w:r>
    </w:p>
    <w:p>
      <w:pPr>
        <w:spacing w:after="120" w:line="300"/>
        <w:jc w:val="both"/>
      </w:pPr>
      <w:r>
        <w:t xml:space="preserve">Public-interest advocacy. Engagement with disability advocacy organisations and with researchers and journalists working on the NDIS regulatory regime can produce informed coverage of the case in due course. </w:t>
      </w:r>
      <w:r>
        <w:rPr>
          <w:i/>
          <w:iCs/>
        </w:rPr>
        <w:t xml:space="preserve">The Saturday Paper</w:t>
      </w:r>
      <w:r>
        <w:t xml:space="preserve">'s reporting on the broader NDIS political dynamics (referred to at Section 6.4) shows there is a journalist audience for the systemic critique. Rick Morton's work on the regulatory environment is a natural starting point.</w:t>
      </w:r>
    </w:p>
    <w:p>
      <w:pPr>
        <w:pStyle w:val="Heading2"/>
        <w:spacing w:after="120" w:before="260"/>
      </w:pPr>
      <w:r>
        <w:t xml:space="preserve">9.6  How this becomes a positive precedent</w:t>
      </w:r>
    </w:p>
    <w:p>
      <w:pPr>
        <w:spacing w:after="120" w:line="300"/>
        <w:jc w:val="both"/>
      </w:pPr>
      <w:r>
        <w:t xml:space="preserve">The applicants are unlikely to be the only NDIS providers banned in 2022–2024 in circumstances where the individualised assessment was thin and the political environment was contributing. A successful set-aside ruling — particularly on the ultra vires variation ground and the no-individualised-assessment ground — would be cited in other matters and could prompt the Commission to revise its banning order practice.</w:t>
      </w:r>
    </w:p>
    <w:p>
      <w:pPr>
        <w:spacing w:after="120" w:line="300"/>
        <w:jc w:val="both"/>
      </w:pPr>
      <w:r>
        <w:t xml:space="preserve">Forensic precedent. A finding that s 100 of the NDIS Act does not authorise a switch of statutory ground would constrain the Commission's practice across all future internal reviews. The internal review process is at present one of the principal regulatory levers available to the Commission; tightening it has real systemic effect.</w:t>
      </w:r>
    </w:p>
    <w:p>
      <w:pPr>
        <w:spacing w:after="120" w:line="300"/>
        <w:jc w:val="both"/>
      </w:pPr>
      <w:r>
        <w:t xml:space="preserve">Procedural precedent. A finding that 11-day notice periods are insufficient for s 73ZM purposes (or a Tribunal observation along similar lines) would have application across NDIS regulatory practice.</w:t>
      </w:r>
    </w:p>
    <w:p>
      <w:pPr>
        <w:spacing w:after="120" w:line="300"/>
        <w:jc w:val="both"/>
      </w:pPr>
      <w:r>
        <w:t xml:space="preserve">Disclosure precedent. A Tribunal observation about the Commission's three-year omission of decision-record documents and selective LPP claims could influence future s 23 compliance.</w:t>
      </w:r>
    </w:p>
    <w:p>
      <w:pPr>
        <w:spacing w:after="120" w:line="300"/>
        <w:jc w:val="both"/>
      </w:pPr>
      <w:r>
        <w:t xml:space="preserve">Policy reform. Once vindicated, the applicants are in a position to engage with the NDIS reform debate from a position of credibility and lived experience. The current political emphasis on "fraud" as the framing for NDIS reform (Section 6.4) has substantive critics; the applicants' story is illustrative of the costs that framing imposes on actual providers and families.</w:t>
      </w:r>
    </w:p>
    <w:p>
      <w:pPr>
        <w:pStyle w:val="Heading2"/>
        <w:spacing w:after="120" w:before="260"/>
      </w:pPr>
      <w:r>
        <w:t xml:space="preserve">9.7  The long view</w:t>
      </w:r>
    </w:p>
    <w:p>
      <w:pPr>
        <w:spacing w:after="120" w:line="300"/>
        <w:jc w:val="both"/>
      </w:pPr>
      <w:r>
        <w:t xml:space="preserve">The Reid case has been, since 19 October 2022, a contest between the regulator's discretion and the documentary record. Three-and-a-half years on, the documentary record is more comprehensively available than it has ever been: the ASIC extracts; the internal reviewer's concessions; the EC22-002000, EC22-002103, EC22-002429 and EC22-002521 briefs; the SL1 and SL2 tracked-change comments; the CDPP discontinuance; the 23 December 2022 media release; the 7 May 2026 supplementary disclosure with its admissions and its selectivity. The record now supports the applicants in a way the regulator could not have anticipated when the decisions were made.</w:t>
      </w:r>
    </w:p>
    <w:p>
      <w:pPr>
        <w:spacing w:after="120" w:line="300"/>
        <w:jc w:val="both"/>
      </w:pPr>
      <w:r>
        <w:t xml:space="preserve">The realistic horizon for full resolution is 12 to 24 months: 4 to 6 months for the substantive ART hearing and decision once severance and disclosure questions are resolved; 6 to 12 months for any subsequent Federal Court or tort proceedings (if pursued); and 3 to 6 months for the reputational restoration work to take effect. That is a long horizon, but not an unreasonable one for a matter of this scale.</w:t>
      </w:r>
    </w:p>
    <w:p>
      <w:pPr>
        <w:spacing w:after="120" w:line="300"/>
        <w:jc w:val="both"/>
      </w:pPr>
      <w:r>
        <w:t xml:space="preserve">The end goal for the applicants is not just the set-aside of the orders. It is the restoration of professional standing, the closure of the regulatory matter on a defensible basis, the recovery (where possible) of the losses suffered, and the conversion of a costly chapter into one that contributes to the proper functioning of the regulatory regime. That conversion is possible. It will require continued effort, careful sequencing of the secondary actions after the ART matter, and a willingness to engage the public dimension of the case once the legal foundation is laid.</w:t>
      </w:r>
    </w:p>
    <w:p>
      <w:pPr>
        <w:spacing w:after="120" w:line="300"/>
        <w:jc w:val="both"/>
      </w:pPr>
      <w:r>
        <w:t xml:space="preserve">This section is included in this note in recognition that the case is, for the applicants, a personal as well as a legal matter. The legal analysis at Sections 3 to 8 provides the platform. The end-game at Section 9 is what the legal analysis is in service of.</w:t>
      </w:r>
    </w:p>
    <w:p>
      <w:pPr>
        <w:pStyle w:val="Heading1"/>
        <w:spacing w:after="160" w:before="320"/>
      </w:pPr>
      <w:r>
        <w:t xml:space="preserve">Appendix — Key documentary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88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rPr>
              <w:t xml:space="preserve">Document</w:t>
            </w:r>
          </w:p>
        </w:tc>
        <w:tc>
          <w:tcPr>
            <w:tcW w:type="dxa" w:w="648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rPr>
              <w:t xml:space="preserve">Why it matters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Notice of Banning Order — Vida Reid (Halton, 20 Dec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Expressly cites s 73ZN(2)(a)(i); fixes the original statutory ground for Mrs Reid.</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Notice of Banning Order — Simon Reid (Halton, 21 Dec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Cites s 73ZN(2)(a)(iii) from the outset; omitted from the original tender bundle and only produced informally on 7 May 2026.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EC22-002000 (19 Oct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Originating brief — same-day suspension/notice of intention against FFG and Vida. Contains the "quite strong" admission, the "retaliatory response" sensitivity, and references the LSB advice at Attachment 55 (LEX 1602) substantively at paragraphs 3.1–3.2.</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EC22-002103 (17 Nov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Project Archer notice-of-intention brief — recommends s 73ZN(2)(a)(iii) notice for Simon. Attachment O withheld on LPP grounds (s 70 application 7 May 2026).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EC22-002429 (2 Dec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Recording extension of time granted to Mr Reid to respond to the notice of intention. Not in the original tender bundle.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EC22-002521 (21 Dec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Decision brief for Simon's ban. Frames "unsuitability" only by reference to directorship and joint signatory authority; copies Vida's case across without individualisation. Attachment G withheld on LPP grounds (s 70 application 7 May 2026).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EC22-002581 (20 Dec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Decision brief for FFG revocation and Vida's banning order; records the 19 October 2022 same-day pattern of suspension/notice of intention at paragraph 12.</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SL1 and SL2 tracked-change comments (Nov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Legal-advice content visible on the face of a disclosed draft Halton letter — references prior AGS advice on procedural fairness; notes LSB did not review the suspension aspect.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Attachment 1D considerations document (T9.5)</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Working product generated to separate evidence supporting contravention from evidence supporting state of mind — responsive to legal advice; disclosed without privilege claim.</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Internal Review IR(6) 22/23 — Vida (Leathem, 21 Apr 2023)</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Smoking-gun document for Ground 2: expressly switches the statutory ground from (a)(i) to (a)(iii) on the face of the decision (paras 1–2; 29–31).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Internal Review IR(7) 22/23 — Simon (Leathem, 21 Apr 2023)</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Concedes misattribution to Mr Reid of FFG Clulow claims (para 29(i)); gives "minimal weight" to the $1.485M expired-plans figure (para 29(j)).</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NDIA Statement of Material Facts (19 Oct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of the joint-attribution language ("Ms Reid and Mr Reid caused 81 false payment requests") on which the Commission's case against Simon largely depends. The criminal charges underpinning it were discontinued by CDPP on 23 Feb 2024.</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Tactical Intelligence Report — Project Archer (18 Aug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Referenced by the internal reviewer as containing material favourable to Mr Reid; subject to DP Mischin's non-disclosure orders of 26 July 2024 and continues to be withheld per AGS letter 7 May 2026.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ASIC Company Extracts — Hybrid Hive and FFG</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Establish that Mr Reid was not a director of FFG during the alleged offending period and was a director of Hybrid only from 17 February 2022 — directly contradicting the joint-attribution narrative.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Short Supplementary Submissions (Respondent, 19 Mar 2026)</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Admits eight categories of Simon-specific documents omitted from the June 2024 tender bundle (para 15); proposes updated bundle by 10 April 2026 (not met).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AGS Letter and s 70 Application (Dickinson, 7 May 2026)</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Provides informal copies of the omitted documents; concurrently seeks non-disclosure of two LPP attachments to the briefing notes; confirms continuing reliance on non-disclosure orders over the Project Archer Tactical Intelligence Report.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Submission ART Brisbane (Vida Reid, 23 Sep 2025), Section F</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Pleads the ultra vires variation as a misuse of s 73ZO and as procedurally unfair (paras 1.1–2.1). This note recommends pleading the further ground that the exercise, if under s 100, is jurisdictional error.</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Joint ministerial-Commission media release (23 Dec 2022)</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Documentary evidence of the political deployment of the decisions; ties the Reid matter to the "expanded Fraud Fusion Taskforce" and the "fraudsters stealing" narrative.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CDPP discontinuance (23 Feb 2024)</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All four charges against Mrs Reid discontinued; undermines the Banning Order Policy rationale for the (a)(iii) switch.</w:t>
            </w:r>
          </w:p>
        </w:tc>
      </w:tr>
    </w:tbl>
    <w:p>
      <w:pPr>
        <w:spacing w:after="0" w:before="240"/>
        <w:jc w:val="center"/>
      </w:pPr>
      <w:r>
        <w:rPr>
          <w:i/>
          <w:iCs/>
        </w:rPr>
        <w:t xml:space="preserve">— end of note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Reid v NDIS Commission — deep dive v2 (CONFIDENTIAL — LEGALLY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i/>
      <w:i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Reid v NDIS Commission — deep dive v2 (individualised assessment; ultra vires variation; improper purpose)</dc:title>
  <dc:creator>Reid v NDIS Commission — internal analysis</dc:creator>
  <cp:lastModifiedBy>Un-named</cp:lastModifiedBy>
  <cp:revision>1</cp:revision>
  <dcterms:created xsi:type="dcterms:W3CDTF">2026-05-13T06:39:46.512Z</dcterms:created>
  <dcterms:modified xsi:type="dcterms:W3CDTF">2026-05-13T06:39:46.651Z</dcterms:modified>
</cp:coreProperties>
</file>

<file path=docProps/custom.xml><?xml version="1.0" encoding="utf-8"?>
<Properties xmlns="http://schemas.openxmlformats.org/officeDocument/2006/custom-properties" xmlns:vt="http://schemas.openxmlformats.org/officeDocument/2006/docPropsVTypes"/>
</file>