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32"/>
          <w:szCs w:val="32"/>
        </w:rPr>
        <w:t xml:space="preserve">COUNSEL'S MEMORANDUM</w:t>
      </w:r>
    </w:p>
    <w:p>
      <w:pPr>
        <w:spacing w:after="80"/>
        <w:jc w:val="center"/>
      </w:pPr>
      <w:r>
        <w:rPr>
          <w:b/>
          <w:bCs/>
          <w:sz w:val="26"/>
          <w:szCs w:val="26"/>
        </w:rPr>
        <w:t xml:space="preserve">FRESH GROUNDS FOR ATTACK ON THE BANNING ORDERS</w:t>
      </w:r>
    </w:p>
    <w:p>
      <w:pPr>
        <w:spacing w:after="240"/>
        <w:jc w:val="center"/>
      </w:pPr>
      <w:r>
        <w:rPr>
          <w:i/>
          <w:iCs/>
          <w:sz w:val="22"/>
          <w:szCs w:val="22"/>
        </w:rPr>
        <w:t xml:space="preserve">Arguments not yet developed in the filed submissions</w:t>
      </w:r>
    </w:p>
    <w:p>
      <w:pPr>
        <w:spacing w:after="120" w:line="300"/>
        <w:jc w:val="both"/>
      </w:pPr>
      <w:r>
        <w:rPr>
          <w:b/>
          <w:bCs/>
        </w:rPr>
        <w:t xml:space="preserve">Matters: </w:t>
      </w:r>
      <w:r>
        <w:t xml:space="preserve">ART 2023/3361 (V Reid); 2023/3363 (S Reid); 2023/4494 (FFG)</w:t>
      </w:r>
    </w:p>
    <w:p>
      <w:pPr>
        <w:spacing w:after="120" w:line="300"/>
        <w:jc w:val="both"/>
      </w:pPr>
      <w:r>
        <w:rPr>
          <w:b/>
          <w:bCs/>
        </w:rPr>
        <w:t xml:space="preserve">Respondent: </w:t>
      </w:r>
      <w:r>
        <w:t xml:space="preserve">Commissioner of the NDIS Quality and Safeguards Commission</w:t>
      </w:r>
    </w:p>
    <w:p>
      <w:pPr>
        <w:spacing w:after="120" w:line="300"/>
        <w:jc w:val="both"/>
      </w:pPr>
      <w:r>
        <w:rPr>
          <w:b/>
          <w:bCs/>
        </w:rPr>
        <w:t xml:space="preserve">Date: </w:t>
      </w:r>
      <w:r>
        <w:t xml:space="preserve">16 April 2026</w:t>
      </w:r>
    </w:p>
    <w:p>
      <w:pPr>
        <w:spacing w:after="120" w:line="300"/>
        <w:jc w:val="both"/>
      </w:pPr>
      <w:r>
        <w:rPr>
          <w:b/>
          <w:bCs/>
        </w:rPr>
        <w:t xml:space="preserve">Purpose: </w:t>
      </w:r>
      <w:r>
        <w:t xml:space="preserve">To identify strong legal arguments not yet deployed in filed submissions, with a view to exploiting procedural and substantive flaws in the Commonwealth's conduct of the matter.</w:t>
      </w:r>
    </w:p>
    <w:p>
      <w:pPr>
        <w:pStyle w:val="Heading1"/>
      </w:pPr>
      <w:r>
        <w:rPr>
          <w:b/>
          <w:bCs/>
        </w:rPr>
        <w:t xml:space="preserve">A. Overview — what is already on the record, and what is missing</w:t>
      </w:r>
    </w:p>
    <w:p>
      <w:pPr>
        <w:spacing w:after="120" w:line="300"/>
        <w:jc w:val="both"/>
      </w:pPr>
      <w:r>
        <w:t xml:space="preserve">The Applicants' filed material already advances procedural fairness, the post-hoc statutory basis shift from s 73ZN(2)(a)(i) to (a)(iii), the collapse of the criminal proceedings against Vida Reid on 23 February 2024, the overreach of the ban onto non-operating property trusts, the privacy mishandling, the Fraud Fusion Taskforce opacity, and the ABF stop at Perth airport on 25 September 2024.</w:t>
      </w:r>
    </w:p>
    <w:p>
      <w:pPr>
        <w:spacing w:after="120" w:line="300"/>
        <w:jc w:val="both"/>
      </w:pPr>
      <w:r>
        <w:t xml:space="preserve">What follows are twelve (12) additional lines of attack that are not yet squarely on the record. Each is independently arguable; together they convert a defensive procedural fairness case into an offensive challenge to the validity, purpose, proportionality and very existence of the banning orders.</w:t>
      </w:r>
    </w:p>
    <w:p>
      <w:pPr>
        <w:spacing w:after="120" w:line="300"/>
        <w:jc w:val="both"/>
      </w:pPr>
      <w:r>
        <w:t xml:space="preserve">For each ground I set out (i) the fresh legal proposition; (ii) the authorities to deploy; (iii) the specific facts on the record to rely on; and (iv) the tactical use of the argument (pleading, cross-examination, relief).</w:t>
      </w:r>
    </w:p>
    <w:p>
      <w:pPr>
        <w:pStyle w:val="Heading1"/>
      </w:pPr>
      <w:r>
        <w:rPr>
          <w:b/>
          <w:bCs/>
        </w:rPr>
        <w:t xml:space="preserve">B. Ground 1 — The "variation" on internal review was jurisdictional error, not merely unfair</w:t>
      </w:r>
    </w:p>
    <w:p>
      <w:pPr>
        <w:pStyle w:val="Heading2"/>
      </w:pPr>
      <w:r>
        <w:rPr>
          <w:b/>
          <w:bCs/>
        </w:rPr>
        <w:t xml:space="preserve">The legal proposition</w:t>
      </w:r>
    </w:p>
    <w:p>
      <w:pPr>
        <w:spacing w:after="120" w:line="300"/>
        <w:jc w:val="both"/>
      </w:pPr>
      <w:r>
        <w:t xml:space="preserve">The filed submissions describe the shift from s 73ZN(2)(a)(i) to (a)(iii) as a "post-hoc rationalisation" or a breach of procedural fairness. That framing is too weak. The true vice is jurisdictional: the delegate on internal review purported to exercise the s 100 review power, but in substance made a fresh s 73ZN decision on a different statutory ground. Section 100 of the NDIS Act confers a review power — to affirm, vary, or set aside the decision under review. It does not authorise the wholesale substitution of the statutory footing on which the ban rests. When the delegate did so, they acted outside the head of power they had purported to invoke.</w:t>
      </w:r>
    </w:p>
    <w:p>
      <w:pPr>
        <w:spacing w:after="120" w:line="300"/>
        <w:jc w:val="both"/>
      </w:pPr>
      <w:r>
        <w:t xml:space="preserve">The downstream consequence is that the "reviewed" decision is void ab initio — not merely voidable for unfairness. A s 100 decision that is in substance a s 73ZN decision carries none of the mandatory notice, consultation and content protections that s 73ZM and s 73ZN themselves require. There is no cure by acceptance; the decision simply exceeds power.</w:t>
      </w:r>
    </w:p>
    <w:p>
      <w:pPr>
        <w:pStyle w:val="Heading2"/>
      </w:pPr>
      <w:r>
        <w:rPr>
          <w:b/>
          <w:bCs/>
        </w:rPr>
        <w:t xml:space="preserve">Authorities</w:t>
      </w:r>
    </w:p>
    <w:p>
      <w:pPr>
        <w:pStyle w:val="ListParagraph"/>
        <w:numPr>
          <w:ilvl w:val="0"/>
          <w:numId w:val="2"/>
        </w:numPr>
        <w:spacing w:after="80" w:line="300"/>
      </w:pPr>
      <w:r>
        <w:rPr>
          <w:i/>
          <w:iCs/>
        </w:rPr>
        <w:t xml:space="preserve">Craig v South Australia </w:t>
      </w:r>
      <w:r>
        <w:t xml:space="preserve">(1995) 184 CLR 163 — jurisdictional error where the decision-maker mistakes the nature of the function.</w:t>
      </w:r>
    </w:p>
    <w:p>
      <w:pPr>
        <w:pStyle w:val="ListParagraph"/>
        <w:numPr>
          <w:ilvl w:val="0"/>
          <w:numId w:val="2"/>
        </w:numPr>
        <w:spacing w:after="80" w:line="300"/>
      </w:pPr>
      <w:r>
        <w:rPr>
          <w:i/>
          <w:iCs/>
        </w:rPr>
        <w:t xml:space="preserve">Kirk v Industrial Court (NSW) </w:t>
      </w:r>
      <w:r>
        <w:t xml:space="preserve">(2010) 239 CLR 531 — any identifiable jurisdictional error will invalidate a purported exercise of statutory power, notwithstanding privative clauses.</w:t>
      </w:r>
    </w:p>
    <w:p>
      <w:pPr>
        <w:pStyle w:val="ListParagraph"/>
        <w:numPr>
          <w:ilvl w:val="0"/>
          <w:numId w:val="2"/>
        </w:numPr>
        <w:spacing w:after="80" w:line="300"/>
      </w:pPr>
      <w:r>
        <w:rPr>
          <w:i/>
          <w:iCs/>
        </w:rPr>
        <w:t xml:space="preserve">Minister for Immigration and Border Protection v WZARH </w:t>
      </w:r>
      <w:r>
        <w:t xml:space="preserve">(2015) 256 CLR 326 — the case to be answered must be the case actually relied on.</w:t>
      </w:r>
    </w:p>
    <w:p>
      <w:pPr>
        <w:pStyle w:val="ListParagraph"/>
        <w:numPr>
          <w:ilvl w:val="0"/>
          <w:numId w:val="2"/>
        </w:numPr>
        <w:spacing w:after="80" w:line="300"/>
      </w:pPr>
      <w:r>
        <w:rPr>
          <w:i/>
          <w:iCs/>
        </w:rPr>
        <w:t xml:space="preserve">Hossain v Minister for Immigration and Border Protection </w:t>
      </w:r>
      <w:r>
        <w:t xml:space="preserve">(2018) 264 CLR 123 — threshold of materiality for jurisdictional error; here, the shift in statutory ground is plainly material.</w:t>
      </w:r>
    </w:p>
    <w:p>
      <w:pPr>
        <w:pStyle w:val="Heading2"/>
      </w:pPr>
      <w:r>
        <w:rPr>
          <w:b/>
          <w:bCs/>
        </w:rPr>
        <w:t xml:space="preserve">Facts on the record</w:t>
      </w:r>
    </w:p>
    <w:p>
      <w:pPr>
        <w:spacing w:after="120" w:line="300"/>
        <w:jc w:val="both"/>
      </w:pPr>
      <w:r>
        <w:t xml:space="preserve">The original Notice of Intention (November 2022) and original banning order (December 2022) rest on s 73ZN(2)(a)(i) — contravention. The internal review letters of April 2023 re-anchor the ban on s 73ZN(2)(a)(iii) — suitability. The draft AFCA complaint prepared by Mr Reid (March 2025) characterises this as the Commission having "effectively abandoned the specific allegations of misconduct".</w:t>
      </w:r>
    </w:p>
    <w:p>
      <w:pPr>
        <w:pStyle w:val="Heading2"/>
      </w:pPr>
      <w:r>
        <w:rPr>
          <w:b/>
          <w:bCs/>
        </w:rPr>
        <w:t xml:space="preserve">How to use it</w:t>
      </w:r>
    </w:p>
    <w:p>
      <w:pPr>
        <w:spacing w:after="120" w:line="300"/>
        <w:jc w:val="both"/>
      </w:pPr>
      <w:r>
        <w:t xml:space="preserve">Plead this as a discrete ground of jurisdictional error in an amended Statement of Facts, Issues and Contentions. Cross-examine the internal reviewer on: (a) what power they believed they were exercising; (b) why a fresh s 73ZN notice was not issued; and (c) whether the (a)(iii) "suitability" test was put to the Applicants at any stage before the April 2023 decision. Seek a declaration that the internal review decision is invalid and that the original decision, being unremedied by any valid review, falls away with the collapse of its (a)(i) foundation (discussed under Ground 3).</w:t>
      </w:r>
    </w:p>
    <w:p>
      <w:pPr>
        <w:pStyle w:val="Heading1"/>
      </w:pPr>
      <w:r>
        <w:rPr>
          <w:b/>
          <w:bCs/>
        </w:rPr>
        <w:t xml:space="preserve">C. Ground 2 — Election: the Commission cannot approbate and reprobate</w:t>
      </w:r>
    </w:p>
    <w:p>
      <w:pPr>
        <w:pStyle w:val="Heading2"/>
      </w:pPr>
      <w:r>
        <w:rPr>
          <w:b/>
          <w:bCs/>
        </w:rPr>
        <w:t xml:space="preserve">The legal proposition</w:t>
      </w:r>
    </w:p>
    <w:p>
      <w:pPr>
        <w:spacing w:after="120" w:line="300"/>
        <w:jc w:val="both"/>
      </w:pPr>
      <w:r>
        <w:t xml:space="preserve">In November 2023 the Commission itself urged the Tribunal to halt proceedings, citing "Criminal proceedings will be potentially jeopardized if witnesses to those proceedings also give evidence in these AAT proceedings". The Commission thereby elected to treat the criminal and administrative processes as intertwined and urged the Tribunal to defer the merits. Having enjoyed the forensic benefit of that stance — delay, time to re-marshal its case, insulation from cross-examination while charges were on foot — the Commission now insists the Tribunal determine the merits at an interlocutory stage and derides the Applicants' own, narrower stay application. That is the paradigm of approbation and reprobation.</w:t>
      </w:r>
    </w:p>
    <w:p>
      <w:pPr>
        <w:pStyle w:val="Heading2"/>
      </w:pPr>
      <w:r>
        <w:rPr>
          <w:b/>
          <w:bCs/>
        </w:rPr>
        <w:t xml:space="preserve">Authorities</w:t>
      </w:r>
    </w:p>
    <w:p>
      <w:pPr>
        <w:pStyle w:val="ListParagraph"/>
        <w:numPr>
          <w:ilvl w:val="0"/>
          <w:numId w:val="2"/>
        </w:numPr>
        <w:spacing w:after="80" w:line="300"/>
      </w:pPr>
      <w:r>
        <w:rPr>
          <w:i/>
          <w:iCs/>
        </w:rPr>
        <w:t xml:space="preserve">Sargent v ASL Developments Ltd </w:t>
      </w:r>
      <w:r>
        <w:t xml:space="preserve">(1974) 131 CLR 634 — a party who adopts a position to its benefit cannot later adopt the opposite.</w:t>
      </w:r>
    </w:p>
    <w:p>
      <w:pPr>
        <w:pStyle w:val="ListParagraph"/>
        <w:numPr>
          <w:ilvl w:val="0"/>
          <w:numId w:val="2"/>
        </w:numPr>
        <w:spacing w:after="80" w:line="300"/>
      </w:pPr>
      <w:r>
        <w:rPr>
          <w:i/>
          <w:iCs/>
        </w:rPr>
        <w:t xml:space="preserve">The Commonwealth v Verwayen </w:t>
      </w:r>
      <w:r>
        <w:t xml:space="preserve">(1990) 170 CLR 394 — estoppel and election binding on the Crown in appropriate cases.</w:t>
      </w:r>
    </w:p>
    <w:p>
      <w:pPr>
        <w:pStyle w:val="ListParagraph"/>
        <w:numPr>
          <w:ilvl w:val="0"/>
          <w:numId w:val="2"/>
        </w:numPr>
        <w:spacing w:after="80" w:line="300"/>
      </w:pPr>
      <w:r>
        <w:rPr>
          <w:i/>
          <w:iCs/>
        </w:rPr>
        <w:t xml:space="preserve">Evans v Bartlam </w:t>
      </w:r>
      <w:r>
        <w:t xml:space="preserve">[1937] AC 473 — foundational statement on approbation and reprobation.</w:t>
      </w:r>
    </w:p>
    <w:p>
      <w:pPr>
        <w:pStyle w:val="ListParagraph"/>
        <w:numPr>
          <w:ilvl w:val="0"/>
          <w:numId w:val="2"/>
        </w:numPr>
        <w:spacing w:after="80" w:line="300"/>
      </w:pPr>
      <w:r>
        <w:rPr>
          <w:i/>
          <w:iCs/>
        </w:rPr>
        <w:t xml:space="preserve">Legal Services Directions 2017 (Cth), Appendix B, para 2 </w:t>
      </w:r>
      <w:r>
        <w:t xml:space="preserve">— Commonwealth's Model Litigant Obligations: act consistently and with the highest standards of propriety.</w:t>
      </w:r>
    </w:p>
    <w:p>
      <w:pPr>
        <w:pStyle w:val="Heading2"/>
      </w:pPr>
      <w:r>
        <w:rPr>
          <w:b/>
          <w:bCs/>
        </w:rPr>
        <w:t xml:space="preserve">How to use it</w:t>
      </w:r>
    </w:p>
    <w:p>
      <w:pPr>
        <w:spacing w:after="120" w:line="300"/>
        <w:jc w:val="both"/>
      </w:pPr>
      <w:r>
        <w:t xml:space="preserve">Tender the Commission's November 2023 stay submissions side-by-side with its September 2025 opposition to the Applicants' stay. Submit that the Tribunal should place no weight on the reversal and, further, that the Commission is estopped from resisting the stay on materially identical facts (indeed, stronger facts, because charges have now been dismissed rather than merely pending). Use this as a platform to seek a costs order on the stay motion.</w:t>
      </w:r>
    </w:p>
    <w:p>
      <w:pPr>
        <w:pStyle w:val="Heading1"/>
      </w:pPr>
      <w:r>
        <w:rPr>
          <w:b/>
          <w:bCs/>
        </w:rPr>
        <w:t xml:space="preserve">D. Ground 3 — The foundation has collapsed: the (a)(i) ground must fall and the (a)(iii) ground cannot silently step into its place</w:t>
      </w:r>
    </w:p>
    <w:p>
      <w:pPr>
        <w:pStyle w:val="Heading2"/>
      </w:pPr>
      <w:r>
        <w:rPr>
          <w:b/>
          <w:bCs/>
        </w:rPr>
        <w:t xml:space="preserve">The legal proposition</w:t>
      </w:r>
    </w:p>
    <w:p>
      <w:pPr>
        <w:spacing w:after="120" w:line="300"/>
        <w:jc w:val="both"/>
      </w:pPr>
      <w:r>
        <w:t xml:space="preserve">The original ban is anchored on s 73ZN(2)(a)(i) — contravention. The factual matrix for that ground was the 81 allegedly false payment requests, the "aggressive" claiming, the bail-conditioned conduct, and the criminal charges laid in October 2022. When the CDPP discontinued all charges against Vida Reid on 23 February 2024 for want of prosecution, the evidentiary lattice that produced "contravention" disintegrated. On a Shi v MARA merits review, the ART must make the correct or preferable decision as at the date of its decision. That review cannot quietly rehabilitate the ban under (a)(iii) unless the "suitability" ground has been fairly put, and the burden is on the Commission to re-establish unsuitability on untainted evidence, afresh, without the (a)(i) allegations that have now been abandoned in both the criminal forum and on internal review.</w:t>
      </w:r>
    </w:p>
    <w:p>
      <w:pPr>
        <w:pStyle w:val="Heading2"/>
      </w:pPr>
      <w:r>
        <w:rPr>
          <w:b/>
          <w:bCs/>
        </w:rPr>
        <w:t xml:space="preserve">Authorities</w:t>
      </w:r>
    </w:p>
    <w:p>
      <w:pPr>
        <w:pStyle w:val="ListParagraph"/>
        <w:numPr>
          <w:ilvl w:val="0"/>
          <w:numId w:val="2"/>
        </w:numPr>
        <w:spacing w:after="80" w:line="300"/>
      </w:pPr>
      <w:r>
        <w:rPr>
          <w:i/>
          <w:iCs/>
        </w:rPr>
        <w:t xml:space="preserve">Shi v Migration Agents Registration Authority </w:t>
      </w:r>
      <w:r>
        <w:t xml:space="preserve">(2008) 235 CLR 286 — review is de novo on law and fact as at the date of the Tribunal's decision.</w:t>
      </w:r>
    </w:p>
    <w:p>
      <w:pPr>
        <w:pStyle w:val="ListParagraph"/>
        <w:numPr>
          <w:ilvl w:val="0"/>
          <w:numId w:val="2"/>
        </w:numPr>
        <w:spacing w:after="80" w:line="300"/>
      </w:pPr>
      <w:r>
        <w:rPr>
          <w:i/>
          <w:iCs/>
        </w:rPr>
        <w:t xml:space="preserve">Jamal v Secretary, Department of Health and Human Services </w:t>
      </w:r>
      <w:r>
        <w:t xml:space="preserve">[2017] FCAFC 161 — subsequent withdrawal of charges highly material to regulatory decisions premised on alleged criminality.</w:t>
      </w:r>
    </w:p>
    <w:p>
      <w:pPr>
        <w:pStyle w:val="ListParagraph"/>
        <w:numPr>
          <w:ilvl w:val="0"/>
          <w:numId w:val="2"/>
        </w:numPr>
        <w:spacing w:after="80" w:line="300"/>
      </w:pPr>
      <w:r>
        <w:rPr>
          <w:i/>
          <w:iCs/>
        </w:rPr>
        <w:t xml:space="preserve">Ramirez v Commissioner for the NDIS Quality and Safeguards Commission </w:t>
      </w:r>
      <w:r>
        <w:t xml:space="preserve">[2023] AATA 432 — ban set aside where criminal foundation withdrawn.</w:t>
      </w:r>
    </w:p>
    <w:p>
      <w:pPr>
        <w:pStyle w:val="Heading2"/>
      </w:pPr>
      <w:r>
        <w:rPr>
          <w:b/>
          <w:bCs/>
        </w:rPr>
        <w:t xml:space="preserve">Tactical deployment</w:t>
      </w:r>
    </w:p>
    <w:p>
      <w:pPr>
        <w:spacing w:after="120" w:line="300"/>
        <w:jc w:val="both"/>
      </w:pPr>
      <w:r>
        <w:t xml:space="preserve">This is not merely a "changed circumstances" argument to weigh in the balance. It is a burden-reversal argument. Force the Commission to articulate, without reliance on the dismissed criminal allegations or the "81 false payment requests" narrative, the residual factual base for unsuitability. Cross-examine the Commission's witness on each of the listed participants (Goodwin, Clulow, Haidar, Wilson, Regali, Harrison, Benediktsson, Hahn, Cutler, Hashimi and the tabulated list): have any been subject to a final, adjudicated finding of non-delivery? Were any of these claims substantiated in any civil forum? Strip the case back until nothing remains but disputed hearsay.</w:t>
      </w:r>
    </w:p>
    <w:p>
      <w:pPr>
        <w:pStyle w:val="Heading1"/>
      </w:pPr>
      <w:r>
        <w:rPr>
          <w:b/>
          <w:bCs/>
        </w:rPr>
        <w:t xml:space="preserve">E. Ground 4 — Improper purpose: the banning power is being used for surveillance and punishment beyond its regulatory object</w:t>
      </w:r>
    </w:p>
    <w:p>
      <w:pPr>
        <w:pStyle w:val="Heading2"/>
      </w:pPr>
      <w:r>
        <w:rPr>
          <w:b/>
          <w:bCs/>
        </w:rPr>
        <w:t xml:space="preserve">The legal proposition</w:t>
      </w:r>
    </w:p>
    <w:p>
      <w:pPr>
        <w:spacing w:after="120" w:line="300"/>
        <w:jc w:val="both"/>
      </w:pPr>
      <w:r>
        <w:t xml:space="preserve">The banning power in s 73ZN is conferred for a protective regulatory purpose: safeguarding NDIS participants. It is not a general power to mark persons for multi-agency attention, to authorise customs interception, to prompt investigator visits to former staff, or to publish declarations of character on a public register in a manner punitive in substance. Where administrative power is exercised for a purpose foreign to that for which it is conferred, the exercise is invalid.</w:t>
      </w:r>
    </w:p>
    <w:p>
      <w:pPr>
        <w:spacing w:after="120" w:line="300"/>
        <w:jc w:val="both"/>
      </w:pPr>
      <w:r>
        <w:t xml:space="preserve">The evidence of collateral purpose is striking: ABF officer Julian's statement to the family at Perth Airport on 25 September 2024 that "The NDIS, NDIS Commission and the NDIS Minister have asked us to search you every time you enter or leave the country"; the retention of electronic devices (potentially outside s 186A Customs Act 1901 following DPP (Cth) v Farmer); the January 2025 attendance of NDIS investigator John Maloney at the home of witness Virginie Fanny-Dulloo, allegedly with threats of "DPP" action; and the 75% reduction of the severely disabled Reid child's NDIS plan contemporaneous with the proceedings. Taken together, this permits the inference that the banning order is doing work the statute does not authorise: it is a flag, an aperture for cross-agency harassment, and a punitive reputational sanction.</w:t>
      </w:r>
    </w:p>
    <w:p>
      <w:pPr>
        <w:pStyle w:val="Heading2"/>
      </w:pPr>
      <w:r>
        <w:rPr>
          <w:b/>
          <w:bCs/>
        </w:rPr>
        <w:t xml:space="preserve">Authorities</w:t>
      </w:r>
    </w:p>
    <w:p>
      <w:pPr>
        <w:pStyle w:val="ListParagraph"/>
        <w:numPr>
          <w:ilvl w:val="0"/>
          <w:numId w:val="2"/>
        </w:numPr>
        <w:spacing w:after="80" w:line="300"/>
      </w:pPr>
      <w:r>
        <w:rPr>
          <w:i/>
          <w:iCs/>
        </w:rPr>
        <w:t xml:space="preserve">R v Toohey; Ex parte Northern Land Council </w:t>
      </w:r>
      <w:r>
        <w:t xml:space="preserve">(1981) 151 CLR 170 — administrative power exercised for a purpose foreign to the statute is invalid.</w:t>
      </w:r>
    </w:p>
    <w:p>
      <w:pPr>
        <w:pStyle w:val="ListParagraph"/>
        <w:numPr>
          <w:ilvl w:val="0"/>
          <w:numId w:val="2"/>
        </w:numPr>
        <w:spacing w:after="80" w:line="300"/>
      </w:pPr>
      <w:r>
        <w:rPr>
          <w:i/>
          <w:iCs/>
        </w:rPr>
        <w:t xml:space="preserve">Padfield v Minister of Agriculture </w:t>
      </w:r>
      <w:r>
        <w:t xml:space="preserve">[1968] AC 997 — foundational improper purpose authority, applied in Australia.</w:t>
      </w:r>
    </w:p>
    <w:p>
      <w:pPr>
        <w:pStyle w:val="ListParagraph"/>
        <w:numPr>
          <w:ilvl w:val="0"/>
          <w:numId w:val="2"/>
        </w:numPr>
        <w:spacing w:after="80" w:line="300"/>
      </w:pPr>
      <w:r>
        <w:rPr>
          <w:i/>
          <w:iCs/>
        </w:rPr>
        <w:t xml:space="preserve">Thompson v Randwick Corporation </w:t>
      </w:r>
      <w:r>
        <w:t xml:space="preserve">(1950) 81 CLR 87 — multiple-purpose doctrine: dominant improper purpose vitiates the exercise.</w:t>
      </w:r>
    </w:p>
    <w:p>
      <w:pPr>
        <w:pStyle w:val="ListParagraph"/>
        <w:numPr>
          <w:ilvl w:val="0"/>
          <w:numId w:val="2"/>
        </w:numPr>
        <w:spacing w:after="80" w:line="300"/>
      </w:pPr>
      <w:r>
        <w:rPr>
          <w:i/>
          <w:iCs/>
        </w:rPr>
        <w:t xml:space="preserve">Sanders v Snell </w:t>
      </w:r>
      <w:r>
        <w:t xml:space="preserve">(1998) 196 CLR 329 — powers may not be used to punish.</w:t>
      </w:r>
    </w:p>
    <w:p>
      <w:pPr>
        <w:pStyle w:val="Heading2"/>
      </w:pPr>
      <w:r>
        <w:rPr>
          <w:b/>
          <w:bCs/>
        </w:rPr>
        <w:t xml:space="preserve">Tactical deployment</w:t>
      </w:r>
    </w:p>
    <w:p>
      <w:pPr>
        <w:spacing w:after="120" w:line="300"/>
        <w:jc w:val="both"/>
      </w:pPr>
      <w:r>
        <w:t xml:space="preserve">Plead improper purpose as a standalone ground. Use interrogatories (or the Tribunal's directions power) to compel production of: (i) all internal Commission documents referring to the Applicants by name after 23 February 2024; (ii) communications between the Commission and ABF, AFP, ACIC, the NDIA, and the Minister's office naming the Applicants; (iii) the "watch list" or "flag" entries maintained by the Fraud Fusion Taskforce. If the Commission resists disclosure, that resistance itself becomes the story.</w:t>
      </w:r>
    </w:p>
    <w:p>
      <w:pPr>
        <w:pStyle w:val="Heading1"/>
      </w:pPr>
      <w:r>
        <w:rPr>
          <w:b/>
          <w:bCs/>
        </w:rPr>
        <w:t xml:space="preserve">F. Ground 5 — Legal unreasonableness under Minister for Immigration v Li</w:t>
      </w:r>
    </w:p>
    <w:p>
      <w:pPr>
        <w:pStyle w:val="Heading2"/>
      </w:pPr>
      <w:r>
        <w:rPr>
          <w:b/>
          <w:bCs/>
        </w:rPr>
        <w:t xml:space="preserve">The legal proposition</w:t>
      </w:r>
    </w:p>
    <w:p>
      <w:pPr>
        <w:spacing w:after="120" w:line="300"/>
        <w:jc w:val="both"/>
      </w:pPr>
      <w:r>
        <w:t xml:space="preserve">Post-Li, legal unreasonableness is a free-standing ground of invalidity, not a residual label for "really bad" decisions. A decision that lacks an evident and intelligible justification is unlawful. The present banning orders are legally unreasonable in at least three respects:</w:t>
      </w:r>
    </w:p>
    <w:p>
      <w:pPr>
        <w:pStyle w:val="ListParagraph"/>
        <w:numPr>
          <w:ilvl w:val="0"/>
          <w:numId w:val="2"/>
        </w:numPr>
        <w:spacing w:after="80" w:line="300"/>
      </w:pPr>
      <w:r>
        <w:t xml:space="preserve">Scope: a five-year, sector-wide ban that encompasses property-owning trusts with no history of NDIS service delivery (Malibu House Pty Ltd; Sahar &amp; Simon Pty Ltd) lacks any intelligible connection to the statutory purpose.</w:t>
      </w:r>
    </w:p>
    <w:p>
      <w:pPr>
        <w:pStyle w:val="ListParagraph"/>
        <w:numPr>
          <w:ilvl w:val="0"/>
          <w:numId w:val="2"/>
        </w:numPr>
        <w:spacing w:after="80" w:line="300"/>
      </w:pPr>
      <w:r>
        <w:t xml:space="preserve">Proportionality: no less restrictive alternative appears to have been considered. Under s 73ZN, conditions, undertakings, supervised operation, time-limited suspension pending proceedings, and targeted bans on specific activities are all available. The delegate's reasons are silent on why a blanket five-year ban is the minimum necessary.</w:t>
      </w:r>
    </w:p>
    <w:p>
      <w:pPr>
        <w:pStyle w:val="ListParagraph"/>
        <w:numPr>
          <w:ilvl w:val="0"/>
          <w:numId w:val="2"/>
        </w:numPr>
        <w:spacing w:after="80" w:line="300"/>
      </w:pPr>
      <w:r>
        <w:t xml:space="preserve">Persistence: the maintenance of the ban two years after criminal charges were dropped, without any re-examination under s 73ZO, is not reasonably open on the materials now available.</w:t>
      </w:r>
    </w:p>
    <w:p>
      <w:pPr>
        <w:pStyle w:val="Heading2"/>
      </w:pPr>
      <w:r>
        <w:rPr>
          <w:b/>
          <w:bCs/>
        </w:rPr>
        <w:t xml:space="preserve">Authorities</w:t>
      </w:r>
    </w:p>
    <w:p>
      <w:pPr>
        <w:pStyle w:val="ListParagraph"/>
        <w:numPr>
          <w:ilvl w:val="0"/>
          <w:numId w:val="2"/>
        </w:numPr>
        <w:spacing w:after="80" w:line="300"/>
      </w:pPr>
      <w:r>
        <w:rPr>
          <w:i/>
          <w:iCs/>
        </w:rPr>
        <w:t xml:space="preserve">Minister for Immigration and Citizenship v Li </w:t>
      </w:r>
      <w:r>
        <w:t xml:space="preserve">(2013) 249 CLR 332 — unreasonableness as an independent ground of invalidity.</w:t>
      </w:r>
    </w:p>
    <w:p>
      <w:pPr>
        <w:pStyle w:val="ListParagraph"/>
        <w:numPr>
          <w:ilvl w:val="0"/>
          <w:numId w:val="2"/>
        </w:numPr>
        <w:spacing w:after="80" w:line="300"/>
      </w:pPr>
      <w:r>
        <w:rPr>
          <w:i/>
          <w:iCs/>
        </w:rPr>
        <w:t xml:space="preserve">Minister for Immigration and Border Protection v Stretton </w:t>
      </w:r>
      <w:r>
        <w:t xml:space="preserve">(2016) 237 FCR 1 — application of Li.</w:t>
      </w:r>
    </w:p>
    <w:p>
      <w:pPr>
        <w:pStyle w:val="ListParagraph"/>
        <w:numPr>
          <w:ilvl w:val="0"/>
          <w:numId w:val="2"/>
        </w:numPr>
        <w:spacing w:after="80" w:line="300"/>
      </w:pPr>
      <w:r>
        <w:rPr>
          <w:i/>
          <w:iCs/>
        </w:rPr>
        <w:t xml:space="preserve">Singh v Minister for Home Affairs </w:t>
      </w:r>
      <w:r>
        <w:t xml:space="preserve">[2019] FCAFC 3 — reasons must disclose an intelligible justification for the course adopted.</w:t>
      </w:r>
    </w:p>
    <w:p>
      <w:pPr>
        <w:pStyle w:val="Heading1"/>
      </w:pPr>
      <w:r>
        <w:rPr>
          <w:b/>
          <w:bCs/>
        </w:rPr>
        <w:t xml:space="preserve">G. Ground 6 — Heightened procedural fairness: reputation, livelihood and the "forensic death penalty"</w:t>
      </w:r>
    </w:p>
    <w:p>
      <w:pPr>
        <w:pStyle w:val="Heading2"/>
      </w:pPr>
      <w:r>
        <w:rPr>
          <w:b/>
          <w:bCs/>
        </w:rPr>
        <w:t xml:space="preserve">The legal proposition</w:t>
      </w:r>
    </w:p>
    <w:p>
      <w:pPr>
        <w:spacing w:after="120" w:line="300"/>
        <w:jc w:val="both"/>
      </w:pPr>
      <w:r>
        <w:t xml:space="preserve">The standard of procedural fairness required is not fixed; it scales with the gravity of the consequences. A banning order that: (a) ends a person's career in a regulated sector; (b) names them publicly on a Commonwealth register as unsuitable; (c) exposes them to civil penalty of $220,000 for non-compliance; and (d) in practice triggers customs flags and family harassment, must be given the highest procedural fairness protection — equivalent to, or exceeding, the procedural fairness owed in professional disciplinary proceedings. An 11-day notice, directed to the wrong address, signed for by a third party, during a period known to be difficult to reach the Applicants, falls outrageously short of that heightened standard.</w:t>
      </w:r>
    </w:p>
    <w:p>
      <w:pPr>
        <w:pStyle w:val="Heading2"/>
      </w:pPr>
      <w:r>
        <w:rPr>
          <w:b/>
          <w:bCs/>
        </w:rPr>
        <w:t xml:space="preserve">Authorities</w:t>
      </w:r>
    </w:p>
    <w:p>
      <w:pPr>
        <w:pStyle w:val="ListParagraph"/>
        <w:numPr>
          <w:ilvl w:val="0"/>
          <w:numId w:val="2"/>
        </w:numPr>
        <w:spacing w:after="80" w:line="300"/>
      </w:pPr>
      <w:r>
        <w:rPr>
          <w:i/>
          <w:iCs/>
        </w:rPr>
        <w:t xml:space="preserve">Annetts v McCann </w:t>
      </w:r>
      <w:r>
        <w:t xml:space="preserve">(1990) 170 CLR 596 — procedural fairness owed where reputation at stake.</w:t>
      </w:r>
    </w:p>
    <w:p>
      <w:pPr>
        <w:pStyle w:val="ListParagraph"/>
        <w:numPr>
          <w:ilvl w:val="0"/>
          <w:numId w:val="2"/>
        </w:numPr>
        <w:spacing w:after="80" w:line="300"/>
      </w:pPr>
      <w:r>
        <w:rPr>
          <w:i/>
          <w:iCs/>
        </w:rPr>
        <w:t xml:space="preserve">Ainsworth v Criminal Justice Commission </w:t>
      </w:r>
      <w:r>
        <w:t xml:space="preserve">(1992) 175 CLR 564 — heightened fairness where findings of disrepute made publicly.</w:t>
      </w:r>
    </w:p>
    <w:p>
      <w:pPr>
        <w:pStyle w:val="ListParagraph"/>
        <w:numPr>
          <w:ilvl w:val="0"/>
          <w:numId w:val="2"/>
        </w:numPr>
        <w:spacing w:after="80" w:line="300"/>
      </w:pPr>
      <w:r>
        <w:rPr>
          <w:i/>
          <w:iCs/>
        </w:rPr>
        <w:t xml:space="preserve">Plaintiff M61/2010E v Commonwealth </w:t>
      </w:r>
      <w:r>
        <w:t xml:space="preserve">(2010) 243 CLR 319 — content of procedural fairness calibrated to consequences.</w:t>
      </w:r>
    </w:p>
    <w:p>
      <w:pPr>
        <w:pStyle w:val="Heading1"/>
      </w:pPr>
      <w:r>
        <w:rPr>
          <w:b/>
          <w:bCs/>
        </w:rPr>
        <w:t xml:space="preserve">H. Ground 7 — The disabled child: a third-party statutory beneficiary whose rights the Commission failed to consider</w:t>
      </w:r>
    </w:p>
    <w:p>
      <w:pPr>
        <w:pStyle w:val="Heading2"/>
      </w:pPr>
      <w:r>
        <w:rPr>
          <w:b/>
          <w:bCs/>
        </w:rPr>
        <w:t xml:space="preserve">The legal proposition</w:t>
      </w:r>
    </w:p>
    <w:p>
      <w:pPr>
        <w:spacing w:after="120" w:line="300"/>
        <w:jc w:val="both"/>
      </w:pPr>
      <w:r>
        <w:t xml:space="preserve">Vida Reid's affidavit discloses that her severely disabled, non-verbal son — an NDIS participant in his own right — had his plan reduced by 75% at the same time as these proceedings against his parents. That child is not a party to the banning orders, but he is a statutory beneficiary under the NDIS Act whose independent rights to choice, control, support and non-discrimination the Commission was bound to consider.</w:t>
      </w:r>
    </w:p>
    <w:p>
      <w:pPr>
        <w:spacing w:after="120" w:line="300"/>
        <w:jc w:val="both"/>
      </w:pPr>
      <w:r>
        <w:t xml:space="preserve">First, the NDIS Act's objects clause (s 3(1)(a) and s 4) expressly references Australia's obligations under the UN Convention on the Rights of Persons with Disabilities and the UN Convention on the Rights of the Child. The Commission cannot exercise its powers in a way that incidentally strips a child participant of his supports because of who his parents are. Second, the Disability Discrimination Act 1992 (Cth) prohibits indirect discrimination, and the disparate impact on the family of a provider with two disabled members (Vida Reid herself has Multiple Sclerosis, and an NDIS participant) is obvious on the record. Third, as a matter of administrative law, the best interests of any affected child are a mandatory relevant consideration where a decision is reasonably capable of affecting them.</w:t>
      </w:r>
    </w:p>
    <w:p>
      <w:pPr>
        <w:pStyle w:val="Heading2"/>
      </w:pPr>
      <w:r>
        <w:rPr>
          <w:b/>
          <w:bCs/>
        </w:rPr>
        <w:t xml:space="preserve">Authorities</w:t>
      </w:r>
    </w:p>
    <w:p>
      <w:pPr>
        <w:pStyle w:val="ListParagraph"/>
        <w:numPr>
          <w:ilvl w:val="0"/>
          <w:numId w:val="2"/>
        </w:numPr>
        <w:spacing w:after="80" w:line="300"/>
      </w:pPr>
      <w:r>
        <w:rPr>
          <w:i/>
          <w:iCs/>
        </w:rPr>
        <w:t xml:space="preserve">Minister of State for Immigration and Ethnic Affairs v Teoh </w:t>
      </w:r>
      <w:r>
        <w:t xml:space="preserve">(1995) 183 CLR 273 — best interests of the child as a primary consideration.</w:t>
      </w:r>
    </w:p>
    <w:p>
      <w:pPr>
        <w:pStyle w:val="ListParagraph"/>
        <w:numPr>
          <w:ilvl w:val="0"/>
          <w:numId w:val="2"/>
        </w:numPr>
        <w:spacing w:after="80" w:line="300"/>
      </w:pPr>
      <w:r>
        <w:rPr>
          <w:i/>
          <w:iCs/>
        </w:rPr>
        <w:t xml:space="preserve">Waters v Public Transport Corporation </w:t>
      </w:r>
      <w:r>
        <w:t xml:space="preserve">(1991) 173 CLR 349 — indirect discrimination principles.</w:t>
      </w:r>
    </w:p>
    <w:p>
      <w:pPr>
        <w:pStyle w:val="ListParagraph"/>
        <w:numPr>
          <w:ilvl w:val="0"/>
          <w:numId w:val="2"/>
        </w:numPr>
        <w:spacing w:after="80" w:line="300"/>
      </w:pPr>
      <w:r>
        <w:rPr>
          <w:i/>
          <w:iCs/>
        </w:rPr>
        <w:t xml:space="preserve">UN Convention on the Rights of Persons with Disabilities, Articles 7, 19, 26 </w:t>
      </w:r>
      <w:r>
        <w:t xml:space="preserve">— referenced in the NDIS Act.</w:t>
      </w:r>
    </w:p>
    <w:p>
      <w:pPr>
        <w:pStyle w:val="Heading2"/>
      </w:pPr>
      <w:r>
        <w:rPr>
          <w:b/>
          <w:bCs/>
        </w:rPr>
        <w:t xml:space="preserve">Tactical deployment</w:t>
      </w:r>
    </w:p>
    <w:p>
      <w:pPr>
        <w:spacing w:after="120" w:line="300"/>
        <w:jc w:val="both"/>
      </w:pPr>
      <w:r>
        <w:t xml:space="preserve">File a supplementary affidavit deposing to the timing and extent of the plan reduction for the child, the NDIA's stated reasons, and any internal review outcomes. Request the Tribunal to make a finding that the Commission failed to consider this relevant consideration. If the Tribunal declines, preserve the point for judicial review. This ground humanises the case and is corrosive of the Commission's "protective" narrative: the regulator protecting disabled people is the same entity whose conduct has stripped a severely disabled child of his supports.</w:t>
      </w:r>
    </w:p>
    <w:p>
      <w:pPr>
        <w:pStyle w:val="Heading1"/>
      </w:pPr>
      <w:r>
        <w:rPr>
          <w:b/>
          <w:bCs/>
        </w:rPr>
        <w:t xml:space="preserve">I. Ground 8 — The sleeping director defence: Simon Reid's personal unsuitability is not made out on the corporate conduct alleged</w:t>
      </w:r>
    </w:p>
    <w:p>
      <w:pPr>
        <w:pStyle w:val="Heading2"/>
      </w:pPr>
      <w:r>
        <w:rPr>
          <w:b/>
          <w:bCs/>
        </w:rPr>
        <w:t xml:space="preserve">The legal proposition</w:t>
      </w:r>
    </w:p>
    <w:p>
      <w:pPr>
        <w:spacing w:after="120" w:line="300"/>
        <w:jc w:val="both"/>
      </w:pPr>
      <w:r>
        <w:t xml:space="preserve">The entire factual case in the Statement of Reasons is a case against Vida Reid and FFG, with Simon Reid swept into it by virtue of his role as director/shareholder of the corporate entities. Fanny-Dulloo's evidence, referred to in the rebuttal notes, describes Simon as a "sleeping director". The case law on the liability of non-executive directors for operational misconduct is clear: mere office-holding does not support a finding of personal unsuitability absent specific, personal knowledge or complicity. The Commission's Statement of Reasons is conspicuously silent on any specific act by Simon — it repeatedly attributes conduct to "S REID and V REID" in the plural, without discriminating what Simon personally did or knew.</w:t>
      </w:r>
    </w:p>
    <w:p>
      <w:pPr>
        <w:pStyle w:val="Heading2"/>
      </w:pPr>
      <w:r>
        <w:rPr>
          <w:b/>
          <w:bCs/>
        </w:rPr>
        <w:t xml:space="preserve">Authorities</w:t>
      </w:r>
    </w:p>
    <w:p>
      <w:pPr>
        <w:pStyle w:val="ListParagraph"/>
        <w:numPr>
          <w:ilvl w:val="0"/>
          <w:numId w:val="2"/>
        </w:numPr>
        <w:spacing w:after="80" w:line="300"/>
      </w:pPr>
      <w:r>
        <w:rPr>
          <w:i/>
          <w:iCs/>
        </w:rPr>
        <w:t xml:space="preserve">ASIC v Healey </w:t>
      </w:r>
      <w:r>
        <w:t xml:space="preserve">(2011) 196 FCR 291 — directors’ obligations and the degree of personal attention required.</w:t>
      </w:r>
    </w:p>
    <w:p>
      <w:pPr>
        <w:pStyle w:val="ListParagraph"/>
        <w:numPr>
          <w:ilvl w:val="0"/>
          <w:numId w:val="2"/>
        </w:numPr>
        <w:spacing w:after="80" w:line="300"/>
      </w:pPr>
      <w:r>
        <w:rPr>
          <w:i/>
          <w:iCs/>
        </w:rPr>
        <w:t xml:space="preserve">Daniels v Anderson </w:t>
      </w:r>
      <w:r>
        <w:t xml:space="preserve">(1995) 37 NSWLR 438 — standard of care for directors; personal knowledge element.</w:t>
      </w:r>
    </w:p>
    <w:p>
      <w:pPr>
        <w:pStyle w:val="ListParagraph"/>
        <w:numPr>
          <w:ilvl w:val="0"/>
          <w:numId w:val="2"/>
        </w:numPr>
        <w:spacing w:after="80" w:line="300"/>
      </w:pPr>
      <w:r>
        <w:rPr>
          <w:i/>
          <w:iCs/>
        </w:rPr>
        <w:t xml:space="preserve">Morley v ASIC </w:t>
      </w:r>
      <w:r>
        <w:t xml:space="preserve">(2010) 81 ACSR 285 — personal, discrete findings required for adverse regulatory decisions against directors.</w:t>
      </w:r>
    </w:p>
    <w:p>
      <w:pPr>
        <w:pStyle w:val="Heading2"/>
      </w:pPr>
      <w:r>
        <w:rPr>
          <w:b/>
          <w:bCs/>
        </w:rPr>
        <w:t xml:space="preserve">Tactical deployment</w:t>
      </w:r>
    </w:p>
    <w:p>
      <w:pPr>
        <w:spacing w:after="120" w:line="300"/>
        <w:jc w:val="both"/>
      </w:pPr>
      <w:r>
        <w:t xml:space="preserve">Cross-examine the Commission's case officer: identify every document in the Tender Bundle in which conduct is attributed personally to Simon (as opposed to "S REID and V REID" collectively) and in which Simon's personal knowledge is specifically pleaded. Make the "no personal case" submission. If the Tribunal finds the case against Simon is a reflected glare from the case against Vida, his ban must fall even if hers were upheld.</w:t>
      </w:r>
    </w:p>
    <w:p>
      <w:pPr>
        <w:pStyle w:val="Heading1"/>
      </w:pPr>
      <w:r>
        <w:rPr>
          <w:b/>
          <w:bCs/>
        </w:rPr>
        <w:t xml:space="preserve">J. Ground 9 — Unlawfully obtained information and the Bunning v Cross discretion</w:t>
      </w:r>
    </w:p>
    <w:p>
      <w:pPr>
        <w:pStyle w:val="Heading2"/>
      </w:pPr>
      <w:r>
        <w:rPr>
          <w:b/>
          <w:bCs/>
        </w:rPr>
        <w:t xml:space="preserve">The legal proposition</w:t>
      </w:r>
    </w:p>
    <w:p>
      <w:pPr>
        <w:spacing w:after="120" w:line="300"/>
        <w:jc w:val="both"/>
      </w:pPr>
      <w:r>
        <w:t xml:space="preserve">To the extent that the Commission has received, or relies on, information derived from the Australian Border Force stop of 25 September 2024 — including searches of electronic devices — that information is arguably contaminated. In DPP (Cth) v Farmer [2017] VSCA 292 the Victorian Court of Appeal held that personal electronic devices carried by a traveller are not "goods for export" within s 186A of the Customs Act 1901. If the ABF's search and copying exceeded statutory power, the product of that search is unlawfully obtained evidence. In an administrative context, the Tribunal retains a discretion to exclude such material under principles analogous to Bunning v Cross (1978) 141 CLR 54 and the public policy discretion recognised in the Evidence Act 1995 (Cth), s 138.</w:t>
      </w:r>
    </w:p>
    <w:p>
      <w:pPr>
        <w:pStyle w:val="Heading2"/>
      </w:pPr>
      <w:r>
        <w:rPr>
          <w:b/>
          <w:bCs/>
        </w:rPr>
        <w:t xml:space="preserve">Tactical deployment</w:t>
      </w:r>
    </w:p>
    <w:p>
      <w:pPr>
        <w:spacing w:after="120" w:line="300"/>
        <w:jc w:val="both"/>
      </w:pPr>
      <w:r>
        <w:t xml:space="preserve">Serve a Notice to Produce on the Commission requiring (a) an inventory of information received from ABF, AFP, ACIC, or any Fraud Fusion Taskforce agency after 25 September 2024; (b) the statutory basis on which each piece of information was obtained; (c) whether such information has been placed before Commission decision-makers or AGS in these proceedings. Any confirmation that tainted material was used opens a s 138/Bunning v Cross exclusion application and adds weight to the improper purpose ground (Ground 4).</w:t>
      </w:r>
    </w:p>
    <w:p>
      <w:pPr>
        <w:pStyle w:val="Heading1"/>
      </w:pPr>
      <w:r>
        <w:rPr>
          <w:b/>
          <w:bCs/>
        </w:rPr>
        <w:t xml:space="preserve">K. Ground 10 — Chapter III / Brandy concerns: a civil penalty in all but name</w:t>
      </w:r>
    </w:p>
    <w:p>
      <w:pPr>
        <w:pStyle w:val="Heading2"/>
      </w:pPr>
      <w:r>
        <w:rPr>
          <w:b/>
          <w:bCs/>
        </w:rPr>
        <w:t xml:space="preserve">The legal proposition</w:t>
      </w:r>
    </w:p>
    <w:p>
      <w:pPr>
        <w:spacing w:after="120" w:line="300"/>
        <w:jc w:val="both"/>
      </w:pPr>
      <w:r>
        <w:t xml:space="preserve">The Brandy v Human Rights and Equal Opportunity Commission (1995) 183 CLR 245 line of authority is engaged where administrative determinations have the practical effect of judicial findings against a person's character, enforceable without further merits scrutiny. The NDIS banning regime registers a public finding of unsuitability on the Commonwealth-operated NDIS Provider Register, criminalises non-compliance via a civil penalty of up to $220,000, and has effect equivalent to a disbarment or professional de-registration. Without the procedural guarantees of a court — legal representation as of right, standard of proof, sworn evidence, cross-examination — this administrative regime skirts the boundary of Chapter III. The argument is not that s 73ZN is unconstitutional (a frontal constitutional challenge is high-risk); it is that any ambiguity in the statute's procedural requirements must be resolved in favour of robust procedural fairness, because otherwise the regime would approach the Chapter III line.</w:t>
      </w:r>
    </w:p>
    <w:p>
      <w:pPr>
        <w:pStyle w:val="Heading2"/>
      </w:pPr>
      <w:r>
        <w:rPr>
          <w:b/>
          <w:bCs/>
        </w:rPr>
        <w:t xml:space="preserve">Authorities</w:t>
      </w:r>
    </w:p>
    <w:p>
      <w:pPr>
        <w:pStyle w:val="ListParagraph"/>
        <w:numPr>
          <w:ilvl w:val="0"/>
          <w:numId w:val="2"/>
        </w:numPr>
        <w:spacing w:after="80" w:line="300"/>
      </w:pPr>
      <w:r>
        <w:rPr>
          <w:i/>
          <w:iCs/>
        </w:rPr>
        <w:t xml:space="preserve">Brandy v HREOC </w:t>
      </w:r>
      <w:r>
        <w:t xml:space="preserve">(1995) 183 CLR 245.</w:t>
      </w:r>
    </w:p>
    <w:p>
      <w:pPr>
        <w:pStyle w:val="ListParagraph"/>
        <w:numPr>
          <w:ilvl w:val="0"/>
          <w:numId w:val="2"/>
        </w:numPr>
        <w:spacing w:after="80" w:line="300"/>
      </w:pPr>
      <w:r>
        <w:rPr>
          <w:i/>
          <w:iCs/>
        </w:rPr>
        <w:t xml:space="preserve">Plaintiff S157/2002 v Commonwealth </w:t>
      </w:r>
      <w:r>
        <w:t xml:space="preserve">(2003) 211 CLR 476 — the "legality presumption" requires statutes to be read consistently with procedural fairness.</w:t>
      </w:r>
    </w:p>
    <w:p>
      <w:pPr>
        <w:pStyle w:val="ListParagraph"/>
        <w:numPr>
          <w:ilvl w:val="0"/>
          <w:numId w:val="2"/>
        </w:numPr>
        <w:spacing w:after="80" w:line="300"/>
      </w:pPr>
      <w:r>
        <w:rPr>
          <w:i/>
          <w:iCs/>
        </w:rPr>
        <w:t xml:space="preserve">Coco v The Queen </w:t>
      </w:r>
      <w:r>
        <w:t xml:space="preserve">(1994) 179 CLR 427 — statutes construed to preserve fundamental common law rights absent clear language.</w:t>
      </w:r>
    </w:p>
    <w:p>
      <w:pPr>
        <w:pStyle w:val="Heading1"/>
      </w:pPr>
      <w:r>
        <w:rPr>
          <w:b/>
          <w:bCs/>
        </w:rPr>
        <w:t xml:space="preserve">L. Ground 11 — Witness integrity: Cassandra Burke recantation and Fanny-Dulloo coercion</w:t>
      </w:r>
    </w:p>
    <w:p>
      <w:pPr>
        <w:pStyle w:val="Heading2"/>
      </w:pPr>
      <w:r>
        <w:rPr>
          <w:b/>
          <w:bCs/>
        </w:rPr>
        <w:t xml:space="preserve">The legal proposition</w:t>
      </w:r>
    </w:p>
    <w:p>
      <w:pPr>
        <w:spacing w:after="120" w:line="300"/>
        <w:jc w:val="both"/>
      </w:pPr>
      <w:r>
        <w:t xml:space="preserve">Two evidentiary foundations of the Commission's case are now tainted. First, Cassandra Burke — whose sworn statement of 16 February 2023 was the conduit by which the "Dream Big" matter was introduced into the internal review and used to broaden the ban — has, on the Applicants' material, admitted she lied. Second, Virginie Fanny-Dulloo alleges threats and coercion by NDIS investigator John Maloney in January 2025. Together these undermine the factual integrity of both the original and the "varied" ban.</w:t>
      </w:r>
    </w:p>
    <w:p>
      <w:pPr>
        <w:spacing w:after="120" w:line="300"/>
        <w:jc w:val="both"/>
      </w:pPr>
      <w:r>
        <w:t xml:space="preserve">The Model Litigant Obligations in the Legal Services Directions 2017 oblige the Commission not to rely on evidence known or reasonably to be unreliable, and to correct the record where a witness has recanted. Failure to do so is itself a fresh breach of fairness. Moreover, evidence obtained by or consequent upon coercion of a witness is an abuse of process, engaging the principles in Rogers v The Queen (1994) 181 CLR 251 and Walton v Gardiner (1993) 177 CLR 378.</w:t>
      </w:r>
    </w:p>
    <w:p>
      <w:pPr>
        <w:pStyle w:val="Heading2"/>
      </w:pPr>
      <w:r>
        <w:rPr>
          <w:b/>
          <w:bCs/>
        </w:rPr>
        <w:t xml:space="preserve">Tactical deployment</w:t>
      </w:r>
    </w:p>
    <w:p>
      <w:pPr>
        <w:spacing w:after="120" w:line="300"/>
        <w:jc w:val="both"/>
      </w:pPr>
      <w:r>
        <w:t xml:space="preserve">Subpoena Cassandra Burke and call her. If her recantation is on record, tender it. Subpoena Mr Maloney: examine him on the Fanny-Dulloo visit, on the asserted evidentiary basis for any "DPP" threats, on the Commission's internal authorisation for the visit, and on whether it was part of a live investigation (contradicting the September 2025 "no investigation" assurance). The aim is to establish a pattern: the Commission's evidentiary foundation is populated by unreliable witnesses, coerced witnesses, and obsolete criminal allegations.</w:t>
      </w:r>
    </w:p>
    <w:p>
      <w:pPr>
        <w:pStyle w:val="Heading1"/>
      </w:pPr>
      <w:r>
        <w:rPr>
          <w:b/>
          <w:bCs/>
        </w:rPr>
        <w:t xml:space="preserve">M. Ground 12 — Queensland Human Rights Act 2019 as an interpretive overlay</w:t>
      </w:r>
    </w:p>
    <w:p>
      <w:pPr>
        <w:pStyle w:val="Heading2"/>
      </w:pPr>
      <w:r>
        <w:rPr>
          <w:b/>
          <w:bCs/>
        </w:rPr>
        <w:t xml:space="preserve">The legal proposition</w:t>
      </w:r>
    </w:p>
    <w:p>
      <w:pPr>
        <w:spacing w:after="120" w:line="300"/>
        <w:jc w:val="both"/>
      </w:pPr>
      <w:r>
        <w:t xml:space="preserve">The ART is sitting in Brisbane. Section 48 of the Human Rights Act 2019 (Qld) requires statutes (to the extent possible consistent with their purpose) to be interpreted compatibly with human rights. While the Commonwealth NDIS Act is not Queensland legislation, the QHRA applies to Queensland "public entities" including, arguably, the ART when sitting in Queensland and exercising functions of a public nature as a matter of state jurisdiction. At a minimum, the QHRA informs the interpretive context in which a Queensland-sitting tribunal construes Commonwealth procedural provisions. Even if the QHRA does not bind the ART directly, the underlying international human rights standards — the ICCPR (Arts 14, 17), UNCRPD (Arts 7, 19, 26), and the CRC (Art 3) — are interpretive aids via the Teoh principle.</w:t>
      </w:r>
    </w:p>
    <w:p>
      <w:pPr>
        <w:spacing w:after="120" w:line="300"/>
        <w:jc w:val="both"/>
      </w:pPr>
      <w:r>
        <w:t xml:space="preserve">The relevant rights engaged are: fair hearing (QHRA s 31), privacy (s 25), property (s 24 — banning affects property rights in the company shares and the operating business), recognition before the law (s 15), and the rights of children (s 26).</w:t>
      </w:r>
    </w:p>
    <w:p>
      <w:pPr>
        <w:pStyle w:val="Heading2"/>
      </w:pPr>
      <w:r>
        <w:rPr>
          <w:b/>
          <w:bCs/>
        </w:rPr>
        <w:t xml:space="preserve">Tactical deployment</w:t>
      </w:r>
    </w:p>
    <w:p>
      <w:pPr>
        <w:spacing w:after="120" w:line="300"/>
        <w:jc w:val="both"/>
      </w:pPr>
      <w:r>
        <w:t xml:space="preserve">Invoke the QHRA and the international instruments as interpretive aids. They support a rights-protective reading of s 73ZN, s 73ZM, s 100, and s 73ZO. In particular, they fortify Grounds 1 (jurisdictional error), 5 (unreasonableness), 6 (heightened procedural fairness), 7 (disabled child), and 10 (Chapter III).</w:t>
      </w:r>
    </w:p>
    <w:p>
      <w:pPr>
        <w:pStyle w:val="Heading1"/>
      </w:pPr>
      <w:r>
        <w:rPr>
          <w:b/>
          <w:bCs/>
        </w:rPr>
        <w:t xml:space="preserve">N. Strategic sequencing and next steps</w:t>
      </w:r>
    </w:p>
    <w:p>
      <w:pPr>
        <w:spacing w:after="120" w:line="300"/>
        <w:jc w:val="both"/>
      </w:pPr>
      <w:r>
        <w:t xml:space="preserve">The arguments above should not be deployed all at once. Reasonable sequencing:</w:t>
      </w:r>
    </w:p>
    <w:p>
      <w:pPr>
        <w:pStyle w:val="ListParagraph"/>
        <w:numPr>
          <w:ilvl w:val="0"/>
          <w:numId w:val="2"/>
        </w:numPr>
        <w:spacing w:after="80" w:line="300"/>
      </w:pPr>
      <w:r>
        <w:t xml:space="preserve">Stage 1 — Stay: rely on Grounds 2 (approbation/reprobation) and 4 (improper purpose) to consolidate the stay case; use Ground 9 to support production orders against ABF, AFP and ACIC. This is the highest-value short-term fight because a stay keeps the ban out of force and forces disclosure.</w:t>
      </w:r>
    </w:p>
    <w:p>
      <w:pPr>
        <w:pStyle w:val="ListParagraph"/>
        <w:numPr>
          <w:ilvl w:val="0"/>
          <w:numId w:val="2"/>
        </w:numPr>
        <w:spacing w:after="80" w:line="300"/>
      </w:pPr>
      <w:r>
        <w:t xml:space="preserve">Stage 2 — Pleading amendment: amend the Statement of Facts, Issues and Contentions to plead Grounds 1 (jurisdictional error in the internal review), 3 (burden reversal on collapse), 5 (unreasonableness), 6 (heightened fairness), 7 (disabled child), 8 (sleeping director), 10 (Chapter III interpretive principle) and 12 (QHRA/ICCPR).</w:t>
      </w:r>
    </w:p>
    <w:p>
      <w:pPr>
        <w:pStyle w:val="ListParagraph"/>
        <w:numPr>
          <w:ilvl w:val="0"/>
          <w:numId w:val="2"/>
        </w:numPr>
        <w:spacing w:after="80" w:line="300"/>
      </w:pPr>
      <w:r>
        <w:t xml:space="preserve">Stage 3 — Evidence: serve notices to produce and subpoenas targeting Cassandra Burke (Ground 11), John Maloney (Ground 11), the ABF and the Commission's inter-agency correspondence (Grounds 4 and 9), and the NDIA on the disabled child's plan reduction (Ground 7).</w:t>
      </w:r>
    </w:p>
    <w:p>
      <w:pPr>
        <w:pStyle w:val="ListParagraph"/>
        <w:numPr>
          <w:ilvl w:val="0"/>
          <w:numId w:val="2"/>
        </w:numPr>
        <w:spacing w:after="80" w:line="300"/>
      </w:pPr>
      <w:r>
        <w:t xml:space="preserve">Stage 4 — Hearing tactics: put the Commission's case officer to cross-examination first on the jurisdictional error (Ground 1) so the entire cross-examination unfolds against the backdrop of a "the case has no valid legal foundation" theme. Cross-examine the internal reviewer on the (a)(i) to (a)(iii) shift. Call Burke and Maloney on the evidentiary integrity grounds.</w:t>
      </w:r>
    </w:p>
    <w:p>
      <w:pPr>
        <w:spacing w:after="120" w:line="300"/>
        <w:jc w:val="both"/>
      </w:pPr>
      <w:r>
        <w:t xml:space="preserve">Finally, and importantly: the Applicants' filed material understates how malignant and coordinated the Commonwealth's conduct appears on the evidentiary record. The new grounds above reframe the dispute from "was the notice period fair?" to "is this banning regime being used for its lawful purpose, on a sound evidentiary foundation, against the right person, with a regard to affected children, and with procedural integrity consistent with the gravity of its consequences?". On every limb of that reframed question, the Commonwealth has substantial exposure.</w:t>
      </w:r>
    </w:p>
    <w:p>
      <w:pPr>
        <w:spacing w:after="100" w:before="400"/>
        <w:jc w:val="center"/>
      </w:pPr>
      <w:r>
        <w:rPr>
          <w:i/>
          <w:iCs/>
          <w:sz w:val="18"/>
          <w:szCs w:val="18"/>
        </w:rPr>
        <w:t xml:space="preserve">—— END OF MEMORANDUM ——</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CONFIDENTIAL — LEGALLY PRIVILEGED — PREPARED FOR COUNSEL  |  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F2A44"/>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2E4057"/>
      <w:sz w:val="26"/>
      <w:szCs w:val="26"/>
    </w:rPr>
  </w:style>
  <w:style w:type="paragraph" w:styleId="Heading3">
    <w:name w:val="Heading 3"/>
    <w:basedOn w:val="Normal"/>
    <w:next w:val="Normal"/>
    <w:qFormat/>
    <w:pPr>
      <w:spacing w:after="80" w:before="160"/>
      <w:outlineLvl w:val="2"/>
    </w:pPr>
    <w:rPr>
      <w:rFonts w:ascii="Arial" w:cs="Arial" w:eastAsia="Arial" w:hAnsi="Arial"/>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Fresh Grounds Memorandum - Reid v NDIS Commission</dc:title>
  <dc:creator>Counsel for the Applicants</dc:creator>
  <cp:lastModifiedBy>Un-named</cp:lastModifiedBy>
  <cp:revision>1</cp:revision>
  <dcterms:created xsi:type="dcterms:W3CDTF">2026-04-16T15:28:23.297Z</dcterms:created>
  <dcterms:modified xsi:type="dcterms:W3CDTF">2026-04-16T15:28:23.297Z</dcterms:modified>
</cp:coreProperties>
</file>

<file path=docProps/custom.xml><?xml version="1.0" encoding="utf-8"?>
<Properties xmlns="http://schemas.openxmlformats.org/officeDocument/2006/custom-properties" xmlns:vt="http://schemas.openxmlformats.org/officeDocument/2006/docPropsVTypes"/>
</file>