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8B0000"/>
          <w:sz w:val="18"/>
          <w:szCs w:val="18"/>
        </w:rPr>
        <w:t xml:space="preserve">CONFIDENTIAL — LEGALLY PRIVILEGED</w:t>
      </w:r>
    </w:p>
    <w:p>
      <w:pPr>
        <w:spacing w:before="80" w:after="40"/>
        <w:jc w:val="center"/>
      </w:pPr>
      <w:r>
        <w:rPr>
          <w:rFonts w:ascii="Arial" w:cs="Arial" w:eastAsia="Arial" w:hAnsi="Arial"/>
          <w:b/>
          <w:bCs/>
          <w:color w:val="1F4E79"/>
          <w:sz w:val="44"/>
          <w:szCs w:val="44"/>
        </w:rPr>
        <w:t xml:space="preserve">COMPREHENSIVE LEGAL ASSESSMENT</w:t>
      </w:r>
    </w:p>
    <w:p>
      <w:pPr>
        <w:spacing w:before="40" w:after="120"/>
        <w:jc w:val="center"/>
      </w:pPr>
      <w:r>
        <w:rPr>
          <w:rFonts w:ascii="Arial" w:cs="Arial" w:eastAsia="Arial" w:hAnsi="Arial"/>
          <w:i/>
          <w:iCs/>
          <w:color w:val="2E75B6"/>
          <w:sz w:val="32"/>
          <w:szCs w:val="32"/>
        </w:rPr>
        <w:t xml:space="preserve">Prospects of Overturning NDIS Banning Orders</w:t>
      </w:r>
    </w:p>
    <w:p>
      <w:pPr>
        <w:spacing w:before="40" w:after="120"/>
        <w:jc w:val="center"/>
      </w:pPr>
      <w:r>
        <w:rPr>
          <w:rFonts w:ascii="Arial" w:cs="Arial" w:eastAsia="Arial" w:hAnsi="Arial"/>
          <w:color w:val="CCCCCC"/>
          <w:sz w:val="28"/>
          <w:szCs w:val="28"/>
        </w:rPr>
        <w:t xml:space="preserve">________________________________________</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Applicants</w:t>
            </w:r>
          </w:p>
        </w:tc>
        <w:tc>
          <w:tcPr>
            <w:tcW w:type="dxa" w:w="4800"/>
            <w:tcBorders>
              <w:top w:val="single" w:color="CCCCCC" w:sz="1"/>
              <w:left w:val="single" w:color="CCCCCC" w:sz="1"/>
              <w:bottom w:val="single" w:color="CCCCCC" w:sz="1"/>
              <w:right w:val="single" w:color="CCCCCC" w:sz="1"/>
            </w:tcBorders>
            <w:shd w:fill="F2F6FC" w:val="clear"/>
            <w:tcMar>
              <w:top w:type="dxa" w:w="100"/>
              <w:left w:type="dxa" w:w="150"/>
              <w:bottom w:type="dxa" w:w="100"/>
              <w:right w:type="dxa" w:w="150"/>
            </w:tcMar>
          </w:tcPr>
          <w:p>
            <w:r>
              <w:rPr>
                <w:rFonts w:ascii="Arial" w:cs="Arial" w:eastAsia="Arial" w:hAnsi="Arial"/>
                <w:sz w:val="20"/>
                <w:szCs w:val="20"/>
              </w:rPr>
              <w:t xml:space="preserve">Simon Reid, Vida Reid, Hybrid Hive Pty Ltd, Forward Focused Group Pty Ltd</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Respondent</w:t>
            </w:r>
          </w:p>
        </w:tc>
        <w:tc>
          <w:tcPr>
            <w:tcW w:type="dxa" w:w="4800"/>
            <w:tcBorders>
              <w:top w:val="single" w:color="CCCCCC" w:sz="1"/>
              <w:left w:val="single" w:color="CCCCCC" w:sz="1"/>
              <w:bottom w:val="single" w:color="CCCCCC" w:sz="1"/>
              <w:right w:val="single" w:color="CCCCCC" w:sz="1"/>
            </w:tcBorders>
            <w:shd w:fill="F2F6FC" w:val="clear"/>
            <w:tcMar>
              <w:top w:type="dxa" w:w="100"/>
              <w:left w:type="dxa" w:w="150"/>
              <w:bottom w:type="dxa" w:w="100"/>
              <w:right w:type="dxa" w:w="150"/>
            </w:tcMar>
          </w:tcPr>
          <w:p>
            <w:r>
              <w:rPr>
                <w:rFonts w:ascii="Arial" w:cs="Arial" w:eastAsia="Arial" w:hAnsi="Arial"/>
                <w:sz w:val="20"/>
                <w:szCs w:val="20"/>
              </w:rPr>
              <w:t xml:space="preserve">Commissioner of the NDIS Quality and Safeguards Commission</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ART Matter Nos.</w:t>
            </w:r>
          </w:p>
        </w:tc>
        <w:tc>
          <w:tcPr>
            <w:tcW w:type="dxa" w:w="4800"/>
            <w:tcBorders>
              <w:top w:val="single" w:color="CCCCCC" w:sz="1"/>
              <w:left w:val="single" w:color="CCCCCC" w:sz="1"/>
              <w:bottom w:val="single" w:color="CCCCCC" w:sz="1"/>
              <w:right w:val="single" w:color="CCCCCC" w:sz="1"/>
            </w:tcBorders>
            <w:shd w:fill="F2F6FC" w:val="clear"/>
            <w:tcMar>
              <w:top w:type="dxa" w:w="100"/>
              <w:left w:type="dxa" w:w="150"/>
              <w:bottom w:type="dxa" w:w="100"/>
              <w:right w:type="dxa" w:w="150"/>
            </w:tcMar>
          </w:tcPr>
          <w:p>
            <w:r>
              <w:rPr>
                <w:rFonts w:ascii="Arial" w:cs="Arial" w:eastAsia="Arial" w:hAnsi="Arial"/>
                <w:sz w:val="20"/>
                <w:szCs w:val="20"/>
              </w:rPr>
              <w:t xml:space="preserve">2023/3361 | 2023/3363 | 2023/4494</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Legal Representative</w:t>
            </w:r>
          </w:p>
        </w:tc>
        <w:tc>
          <w:tcPr>
            <w:tcW w:type="dxa" w:w="4800"/>
            <w:tcBorders>
              <w:top w:val="single" w:color="CCCCCC" w:sz="1"/>
              <w:left w:val="single" w:color="CCCCCC" w:sz="1"/>
              <w:bottom w:val="single" w:color="CCCCCC" w:sz="1"/>
              <w:right w:val="single" w:color="CCCCCC" w:sz="1"/>
            </w:tcBorders>
            <w:shd w:fill="F2F6FC" w:val="clear"/>
            <w:tcMar>
              <w:top w:type="dxa" w:w="100"/>
              <w:left w:type="dxa" w:w="150"/>
              <w:bottom w:type="dxa" w:w="100"/>
              <w:right w:type="dxa" w:w="150"/>
            </w:tcMar>
          </w:tcPr>
          <w:p>
            <w:r>
              <w:rPr>
                <w:rFonts w:ascii="Arial" w:cs="Arial" w:eastAsia="Arial" w:hAnsi="Arial"/>
                <w:sz w:val="20"/>
                <w:szCs w:val="20"/>
              </w:rPr>
              <w:t xml:space="preserve">Tom Monks, Tom &amp; Co Legal</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Date of Assessment</w:t>
            </w:r>
          </w:p>
        </w:tc>
        <w:tc>
          <w:tcPr>
            <w:tcW w:type="dxa" w:w="4800"/>
            <w:tcBorders>
              <w:top w:val="single" w:color="CCCCCC" w:sz="1"/>
              <w:left w:val="single" w:color="CCCCCC" w:sz="1"/>
              <w:bottom w:val="single" w:color="CCCCCC" w:sz="1"/>
              <w:right w:val="single" w:color="CCCCCC" w:sz="1"/>
            </w:tcBorders>
            <w:shd w:fill="F2F6FC" w:val="clear"/>
            <w:tcMar>
              <w:top w:type="dxa" w:w="100"/>
              <w:left w:type="dxa" w:w="150"/>
              <w:bottom w:type="dxa" w:w="100"/>
              <w:right w:type="dxa" w:w="150"/>
            </w:tcMar>
          </w:tcPr>
          <w:p>
            <w:r>
              <w:rPr>
                <w:rFonts w:ascii="Arial" w:cs="Arial" w:eastAsia="Arial" w:hAnsi="Arial"/>
                <w:sz w:val="20"/>
                <w:szCs w:val="20"/>
              </w:rPr>
              <w:t xml:space="preserve">February 2026</w:t>
            </w:r>
          </w:p>
        </w:tc>
      </w:tr>
    </w:tbl>
    <w:p>
      <w:pPr>
        <w:spacing w:before="200" w:after="200"/>
      </w:pPr>
      <w:r>
        <w:t xml:space="preserve"/>
      </w:r>
    </w:p>
    <w:p>
      <w:pPr>
        <w:pBdr>
          <w:top w:val="single" w:color="CCCCCC" w:sz="4"/>
          <w:bottom w:val="single" w:color="CCCCCC" w:sz="4"/>
        </w:pBdr>
        <w:spacing w:before="100" w:after="100"/>
        <w:jc w:val="center"/>
      </w:pPr>
      <w:r>
        <w:rPr>
          <w:rFonts w:ascii="Arial" w:cs="Arial" w:eastAsia="Arial" w:hAnsi="Arial"/>
          <w:i/>
          <w:iCs/>
          <w:color w:val="555555"/>
          <w:sz w:val="18"/>
          <w:szCs w:val="18"/>
        </w:rPr>
        <w:t xml:space="preserve">DISCLAIMER: This document is prepared as a legal analysis tool for the applicants and their advisers. It does not constitute legal advice. All assessments are based on documented facts from the matter record. The applicants should continue to rely on their qualified legal representative.</w:t>
      </w:r>
    </w:p>
    <w:p>
      <w:pPr>
        <w:pStyle w:val="Heading1"/>
        <w:pBdr>
          <w:bottom w:val="single" w:color="1F4E79" w:sz="8" w:space="4"/>
        </w:pBdr>
        <w:spacing w:before="360" w:after="160"/>
      </w:pPr>
      <w:r>
        <w:rPr>
          <w:rFonts w:ascii="Arial" w:cs="Arial" w:eastAsia="Arial" w:hAnsi="Arial"/>
          <w:b/>
          <w:bCs/>
          <w:color w:val="1F4E79"/>
          <w:sz w:val="32"/>
          <w:szCs w:val="32"/>
        </w:rPr>
        <w:t xml:space="preserve">1. EXECUTIVE SUMMARY</w:t>
      </w:r>
    </w:p>
    <w:p>
      <w:pPr>
        <w:spacing w:before="80" w:after="80"/>
      </w:pPr>
      <w:r>
        <w:rPr>
          <w:rFonts w:ascii="Arial" w:cs="Arial" w:eastAsia="Arial" w:hAnsi="Arial"/>
          <w:sz w:val="22"/>
          <w:szCs w:val="22"/>
        </w:rPr>
        <w:t xml:space="preserve">This assessment analyses the prospects of success for Simon Reid, Vida Reid, Hybrid Hive Pty Ltd and Forward Focused Group Pty Ltd (FFG) in overturning banning orders made by the NDIS Quality and Safeguards Commission (the Commission) at the Administrative Review Tribunal (ART). The assessment draws directly on the documented factual record including email correspondence with the Commission, Tom Monks (Tom &amp; Co Legal), and internal communications from December 2022 to the present.</w:t>
      </w:r>
    </w:p>
    <w:p>
      <w:pPr>
        <w:spacing w:before="40" w:after="40"/>
      </w:pPr>
      <w:r>
        <w:t xml:space="preserve"/>
      </w:r>
    </w:p>
    <w:p>
      <w:pPr>
        <w:spacing w:before="80" w:after="80"/>
      </w:pPr>
      <w:r>
        <w:rPr>
          <w:rFonts w:ascii="Arial" w:cs="Arial" w:eastAsia="Arial" w:hAnsi="Arial"/>
          <w:b/>
          <w:bCs/>
          <w:sz w:val="22"/>
          <w:szCs w:val="22"/>
        </w:rPr>
        <w:t xml:space="preserve">Overall Assessment: </w:t>
      </w:r>
      <w:r>
        <w:rPr>
          <w:rFonts w:ascii="Arial" w:cs="Arial" w:eastAsia="Arial" w:hAnsi="Arial"/>
          <w:sz w:val="22"/>
          <w:szCs w:val="22"/>
        </w:rPr>
        <w:t xml:space="preserve">The applicants have </w:t>
      </w:r>
      <w:r>
        <w:rPr>
          <w:rFonts w:ascii="Arial" w:cs="Arial" w:eastAsia="Arial" w:hAnsi="Arial"/>
          <w:b/>
          <w:bCs/>
          <w:color w:val="1F6B31"/>
          <w:sz w:val="22"/>
          <w:szCs w:val="22"/>
        </w:rPr>
        <w:t xml:space="preserve">meaningful and substantive prospects</w:t>
      </w:r>
      <w:r>
        <w:rPr>
          <w:rFonts w:ascii="Arial" w:cs="Arial" w:eastAsia="Arial" w:hAnsi="Arial"/>
          <w:sz w:val="22"/>
          <w:szCs w:val="22"/>
        </w:rPr>
        <w:t xml:space="preserve"> of achieving at minimum a remittal of the banning decision for fresh determination, with realistic prospects of partial or full overturning. The procedural fairness ground alone is a strong standalone basis for review. When combined with the shift in the statutory basis of the ban and the collapse of the criminal proceedings against Vida Reid, the cumulative case is formidable.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Ground of Challenge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Strength</w:t>
            </w:r>
          </w:p>
        </w:tc>
        <w:tc>
          <w:tcPr>
            <w:tcW w:type="dxa" w:w="44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Key Basis</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Procedural Fairness — Inadequate Notice Period</w:t>
            </w:r>
          </w:p>
        </w:tc>
        <w:tc>
          <w:tcPr>
            <w:tcW w:type="dxa" w:w="1400"/>
            <w:tcBorders>
              <w:top w:val="single" w:color="CCCCCC" w:sz="1"/>
              <w:left w:val="single" w:color="CCCCCC" w:sz="1"/>
              <w:bottom w:val="single" w:color="CCCCCC" w:sz="1"/>
              <w:right w:val="single" w:color="CCCCCC" w:sz="1"/>
            </w:tcBorders>
            <w:shd w:fill="1F6B31"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STRONG</w:t>
            </w:r>
          </w:p>
        </w:tc>
        <w:tc>
          <w:tcPr>
            <w:tcW w:type="dxa" w:w="44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Letters dated 19 Nov, received 7 Dec — only ~11 days before deadline</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Defective Service — Wrong Address, No Lawyer Notification</w:t>
            </w:r>
          </w:p>
        </w:tc>
        <w:tc>
          <w:tcPr>
            <w:tcW w:type="dxa" w:w="1400"/>
            <w:tcBorders>
              <w:top w:val="single" w:color="CCCCCC" w:sz="1"/>
              <w:left w:val="single" w:color="CCCCCC" w:sz="1"/>
              <w:bottom w:val="single" w:color="CCCCCC" w:sz="1"/>
              <w:right w:val="single" w:color="CCCCCC" w:sz="1"/>
            </w:tcBorders>
            <w:shd w:fill="1F6B31"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STRONG</w:t>
            </w:r>
          </w:p>
        </w:tc>
        <w:tc>
          <w:tcPr>
            <w:tcW w:type="dxa" w:w="44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Commission knew of legal representation; served individuals directly at wrong address</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Shift in Statutory Basis Post-Decision</w:t>
            </w:r>
          </w:p>
        </w:tc>
        <w:tc>
          <w:tcPr>
            <w:tcW w:type="dxa" w:w="1400"/>
            <w:tcBorders>
              <w:top w:val="single" w:color="CCCCCC" w:sz="1"/>
              <w:left w:val="single" w:color="CCCCCC" w:sz="1"/>
              <w:bottom w:val="single" w:color="CCCCCC" w:sz="1"/>
              <w:right w:val="single" w:color="CCCCCC" w:sz="1"/>
            </w:tcBorders>
            <w:shd w:fill="CC66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GOOD</w:t>
            </w:r>
          </w:p>
        </w:tc>
        <w:tc>
          <w:tcPr>
            <w:tcW w:type="dxa" w:w="44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Ban re-grounded from s73ZN(2)(a)(i) to (a)(iii) — post-hoc rationalisation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Collapse of Criminal Proceedings Against Vida Reid</w:t>
            </w:r>
          </w:p>
        </w:tc>
        <w:tc>
          <w:tcPr>
            <w:tcW w:type="dxa" w:w="1400"/>
            <w:tcBorders>
              <w:top w:val="single" w:color="CCCCCC" w:sz="1"/>
              <w:left w:val="single" w:color="CCCCCC" w:sz="1"/>
              <w:bottom w:val="single" w:color="CCCCCC" w:sz="1"/>
              <w:right w:val="single" w:color="CCCCCC" w:sz="1"/>
            </w:tcBorders>
            <w:shd w:fill="1F6B31"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STRONG</w:t>
            </w:r>
          </w:p>
        </w:tc>
        <w:tc>
          <w:tcPr>
            <w:tcW w:type="dxa" w:w="44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All criminal charges dropped Feb 2024 — foundational allegations gone</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Non-Operating / Non-NDIS Entities Included in Ban</w:t>
            </w:r>
          </w:p>
        </w:tc>
        <w:tc>
          <w:tcPr>
            <w:tcW w:type="dxa" w:w="1400"/>
            <w:tcBorders>
              <w:top w:val="single" w:color="CCCCCC" w:sz="1"/>
              <w:left w:val="single" w:color="CCCCCC" w:sz="1"/>
              <w:bottom w:val="single" w:color="CCCCCC" w:sz="1"/>
              <w:right w:val="single" w:color="CCCCCC" w:sz="1"/>
            </w:tcBorders>
            <w:shd w:fill="CC66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GOOD</w:t>
            </w:r>
          </w:p>
        </w:tc>
        <w:tc>
          <w:tcPr>
            <w:tcW w:type="dxa" w:w="44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Malibu House, Sahar &amp; Simon Pty Ltd — property trusts, not NDIS operators</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Merits — Suitability / 'Expired Plans' Overpayment Claims</w:t>
            </w:r>
          </w:p>
        </w:tc>
        <w:tc>
          <w:tcPr>
            <w:tcW w:type="dxa" w:w="1400"/>
            <w:tcBorders>
              <w:top w:val="single" w:color="CCCCCC" w:sz="1"/>
              <w:left w:val="single" w:color="CCCCCC" w:sz="1"/>
              <w:bottom w:val="single" w:color="CCCCCC" w:sz="1"/>
              <w:right w:val="single" w:color="CCCCCC" w:sz="1"/>
            </w:tcBorders>
            <w:shd w:fill="8B68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MODERATE</w:t>
            </w:r>
          </w:p>
        </w:tc>
        <w:tc>
          <w:tcPr>
            <w:tcW w:type="dxa" w:w="44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Disputed, but $1.48M expired plans claim is serious — context critical</w:t>
            </w:r>
          </w:p>
        </w:tc>
      </w:tr>
    </w:tbl>
    <w:p>
      <w:pPr>
        <w:pStyle w:val="Heading1"/>
        <w:pBdr>
          <w:bottom w:val="single" w:color="1F4E79" w:sz="8" w:space="4"/>
        </w:pBdr>
        <w:spacing w:before="360" w:after="160"/>
      </w:pPr>
      <w:r>
        <w:rPr>
          <w:rFonts w:ascii="Arial" w:cs="Arial" w:eastAsia="Arial" w:hAnsi="Arial"/>
          <w:b/>
          <w:bCs/>
          <w:color w:val="1F4E79"/>
          <w:sz w:val="32"/>
          <w:szCs w:val="32"/>
        </w:rPr>
        <w:t xml:space="preserve">2. FACTUAL BACKGROUND &amp; DOCUMENTED TIMELINE</w:t>
      </w:r>
    </w:p>
    <w:p>
      <w:pPr>
        <w:spacing w:before="80" w:after="80"/>
      </w:pPr>
      <w:r>
        <w:rPr>
          <w:rFonts w:ascii="Arial" w:cs="Arial" w:eastAsia="Arial" w:hAnsi="Arial"/>
          <w:sz w:val="22"/>
          <w:szCs w:val="22"/>
        </w:rPr>
        <w:t xml:space="preserve">The following timeline is derived directly from email correspondence in the matter record: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9360"/>
            <w:gridSpan w:val="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NOTICES OF INTENTION TO BAN — SERVICE TIMELINE</w:t>
            </w:r>
          </w:p>
        </w:tc>
      </w:tr>
      <w:tr>
        <w:tc>
          <w:tcPr>
            <w:tcW w:type="dxa" w:w="1800"/>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sz w:val="19"/>
                <w:szCs w:val="19"/>
              </w:rPr>
              <w:t xml:space="preserve">Date</w:t>
            </w:r>
          </w:p>
        </w:tc>
        <w:tc>
          <w:tcPr>
            <w:tcW w:type="dxa" w:w="4000"/>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sz w:val="19"/>
                <w:szCs w:val="19"/>
              </w:rPr>
              <w:t xml:space="preserve">Event</w:t>
            </w:r>
          </w:p>
        </w:tc>
        <w:tc>
          <w:tcPr>
            <w:tcW w:type="dxa" w:w="3560"/>
            <w:tcBorders>
              <w:top w:val="single" w:color="CCCCCC" w:sz="1"/>
              <w:left w:val="single" w:color="CCCCCC" w:sz="1"/>
              <w:bottom w:val="single" w:color="CCCCCC" w:sz="1"/>
              <w:right w:val="single" w:color="CCCCCC" w:sz="1"/>
            </w:tcBorders>
            <w:shd w:fill="D9E8F5" w:val="clear"/>
            <w:tcMar>
              <w:top w:type="dxa" w:w="60"/>
              <w:left w:type="dxa" w:w="120"/>
              <w:bottom w:type="dxa" w:w="60"/>
              <w:right w:type="dxa" w:w="120"/>
            </w:tcMar>
          </w:tcPr>
          <w:p>
            <w:r>
              <w:rPr>
                <w:rFonts w:ascii="Arial" w:cs="Arial" w:eastAsia="Arial" w:hAnsi="Arial"/>
                <w:b/>
                <w:bCs/>
                <w:sz w:val="19"/>
                <w:szCs w:val="19"/>
              </w:rPr>
              <w:t xml:space="preserve">Legal Significance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19 Oct 2022</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Commission sends notices of intention to ban FFG (two letters). Sent by registered post.</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Letters later referenced in AFCA proceedings. First in time — FFG notice.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19 Nov 2022</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Commission dates notices of intention to ban Simon Reid, Vida Reid, Hybrid Hive, The Hive and multiple other entities. Sent by registered post.</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KEY DATE. Letters state response deadline of 30 November 2022 — only 11 days from date of letter.</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30 Nov 2022</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NDIS Commission's stated deadline for submissions in response to intention to ban notices.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Deadline calculated from date of posting, not date of receipt. This is the central procedural fairness issue.</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7 Dec 2022</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Vida Reid physically receives the registered-post letters for Hybrid Hive, The Hive, Infinity Living Options, Malibu House, Sahar &amp; Simon Pty Ltd, and Exact Financial Solutions — all by registered post, requiring signature, around 10am. She immediately notifies Tom Monks.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18 days after posting. Deadline had already passed 7 days earlier. No meaningful opportunity to respond.</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8 Dec 2022</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Vida emails Tom Monks with scanned copies of all letters.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First time lawyers able to review the actual notices — 8 days after deadline had passed.</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Jan 2023</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Banning orders formally made and issued.</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Orders made without any substantive response from the applicants — procedural process closed.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14 Jan 2023</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Vida sends copies of banning orders to Gina Nofal (Bennett Law). Notes Simon's order references $1,485,527 in claims from 'expired plans'.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Confirms the orders were formally made. Commission's primary merits basis identified.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Mar 2023</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Tom Monks drafts submission re FFG banning order for internal review. Approved by Vida.</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Internal review process begins. Confirms legal engagement at this stage.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22 Mar 2023</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Tom &amp; Co Legal forwards fresh NDIS Commission correspondence to Simon and Vida under 'Your NDIS Commission Matter'.</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Further Commission correspondence still being sent direct to individuals, not their lawyer.</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Apr 2023</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Internal review decision issued: IR(6) 22/23 (Vida Reid) and IR(7) 22/23 (Simon Reid). Tom Monks forwards to clients noting ART lodgement to follow.</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Internal review upholds banning decisions. Statutory basis shifted during this process.</w:t>
            </w:r>
          </w:p>
        </w:tc>
      </w:tr>
      <w:tr>
        <w:tc>
          <w:tcPr>
            <w:tcW w:type="dxa" w:w="1800"/>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tcPr>
          <w:p>
            <w:r>
              <w:rPr>
                <w:rFonts w:ascii="Arial" w:cs="Arial" w:eastAsia="Arial" w:hAnsi="Arial"/>
                <w:b/>
                <w:bCs/>
                <w:sz w:val="20"/>
                <w:szCs w:val="20"/>
              </w:rPr>
              <w:t xml:space="preserve">Jun–Jul 2023</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Tom Monks lodges ART review applications for FFG, Simon Reid and Vida Reid. Applications 2023/3361, 2023/3363, 2023/4494 commenced.</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Merits review proceedings begin before the ART (then AAT).</w:t>
            </w:r>
          </w:p>
        </w:tc>
      </w:tr>
      <w:tr>
        <w:tc>
          <w:tcPr>
            <w:tcW w:type="dxa" w:w="1800"/>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tcPr>
          <w:p>
            <w:r>
              <w:rPr>
                <w:rFonts w:ascii="Arial" w:cs="Arial" w:eastAsia="Arial" w:hAnsi="Arial"/>
                <w:b/>
                <w:bCs/>
                <w:sz w:val="20"/>
                <w:szCs w:val="20"/>
              </w:rPr>
              <w:t xml:space="preserve">23 Feb 2024</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All criminal charges against Vida Reid DROPPED.</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Foundational basis for several Commission allegations removed. Major development for merits case.</w:t>
            </w:r>
          </w:p>
        </w:tc>
      </w:tr>
      <w:tr>
        <w:tc>
          <w:tcPr>
            <w:tcW w:type="dxa" w:w="1800"/>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tcPr>
          <w:p>
            <w:r>
              <w:rPr>
                <w:rFonts w:ascii="Arial" w:cs="Arial" w:eastAsia="Arial" w:hAnsi="Arial"/>
                <w:b/>
                <w:bCs/>
                <w:sz w:val="20"/>
                <w:szCs w:val="20"/>
              </w:rPr>
              <w:t xml:space="preserve">Feb 2024</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Tom Monks files Supplementary Submissions in Opposition to Commission's summary dismissal application (AAT 2023/3363). Raises procedural fairness.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Key legal argument on record — procedural fairness formally pleaded.</w:t>
            </w:r>
          </w:p>
        </w:tc>
      </w:tr>
      <w:tr>
        <w:tc>
          <w:tcPr>
            <w:tcW w:type="dxa" w:w="1800"/>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tcPr>
          <w:p>
            <w:r>
              <w:rPr>
                <w:rFonts w:ascii="Arial" w:cs="Arial" w:eastAsia="Arial" w:hAnsi="Arial"/>
                <w:b/>
                <w:bCs/>
                <w:sz w:val="20"/>
                <w:szCs w:val="20"/>
              </w:rPr>
              <w:t xml:space="preserve">Jul 2024</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Tom Monks files Simon Reid's Statement of Facts, Issues and Contention with Perth Registry.</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Full case on record. Commission represented by AGS (Dickinson/Young).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Aug 2025</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Vida Reid files Defence Submission in matter 2023/3361. Still self-represented for Vida's matter at that point.</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Proceedings ongoing. Vida representing herself due to cost constraints.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Sep 2025</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Respondent (AGS on behalf of Commission) files submissions. Vida responds to ART.</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Case active. Still unresolved as of early 2026.</w:t>
            </w:r>
          </w:p>
        </w:tc>
      </w:tr>
      <w:tr>
        <w:tc>
          <w:tcPr>
            <w:tcW w:type="dxa" w:w="1800"/>
            <w:tcBorders>
              <w:top w:val="single" w:color="CCCCCC" w:sz="1"/>
              <w:left w:val="single" w:color="CCCCCC" w:sz="1"/>
              <w:bottom w:val="single" w:color="CCCCCC" w:sz="1"/>
              <w:right w:val="single" w:color="CCCCCC" w:sz="1"/>
            </w:tcBorders>
            <w:shd w:fill="D5F0DC" w:val="clear"/>
            <w:tcMar>
              <w:top w:type="dxa" w:w="80"/>
              <w:left w:type="dxa" w:w="120"/>
              <w:bottom w:type="dxa" w:w="80"/>
              <w:right w:type="dxa" w:w="120"/>
            </w:tcMar>
          </w:tcPr>
          <w:p>
            <w:r>
              <w:rPr>
                <w:rFonts w:ascii="Arial" w:cs="Arial" w:eastAsia="Arial" w:hAnsi="Arial"/>
                <w:b/>
                <w:bCs/>
                <w:sz w:val="20"/>
                <w:szCs w:val="20"/>
              </w:rPr>
              <w:t xml:space="preserve">Feb 2026</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Proceedings ongoing. Matters 2023/3361, 2023/3363, 2023/4494 listed together before ART Brisbane Registry.</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color w:val="555555"/>
                <w:sz w:val="18"/>
                <w:szCs w:val="18"/>
              </w:rPr>
              <w:t xml:space="preserve">Current status.</w:t>
            </w:r>
          </w:p>
        </w:tc>
      </w:tr>
    </w:tbl>
    <w:p>
      <w:pPr>
        <w:pStyle w:val="Heading1"/>
        <w:pBdr>
          <w:bottom w:val="single" w:color="1F4E79" w:sz="8" w:space="4"/>
        </w:pBdr>
        <w:spacing w:before="360" w:after="160"/>
      </w:pPr>
      <w:r>
        <w:rPr>
          <w:rFonts w:ascii="Arial" w:cs="Arial" w:eastAsia="Arial" w:hAnsi="Arial"/>
          <w:b/>
          <w:bCs/>
          <w:color w:val="1F4E79"/>
          <w:sz w:val="32"/>
          <w:szCs w:val="32"/>
        </w:rPr>
        <w:t xml:space="preserve">3. GROUND ONE: PROCEDURAL FAIRNESS FAILURE</w:t>
      </w:r>
    </w:p>
    <w:p>
      <w:pPr>
        <w:pStyle w:val="Heading2"/>
        <w:spacing w:before="280" w:after="120"/>
      </w:pPr>
      <w:r>
        <w:rPr>
          <w:rFonts w:ascii="Arial" w:cs="Arial" w:eastAsia="Arial" w:hAnsi="Arial"/>
          <w:b/>
          <w:bCs/>
          <w:color w:val="2E75B6"/>
          <w:sz w:val="26"/>
          <w:szCs w:val="26"/>
        </w:rPr>
        <w:t xml:space="preserve">3.1 The Core Factual Matrix</w:t>
      </w:r>
    </w:p>
    <w:p>
      <w:pPr>
        <w:spacing w:before="80" w:after="80"/>
      </w:pPr>
      <w:r>
        <w:rPr>
          <w:rFonts w:ascii="Arial" w:cs="Arial" w:eastAsia="Arial" w:hAnsi="Arial"/>
          <w:sz w:val="22"/>
          <w:szCs w:val="22"/>
        </w:rPr>
        <w:t xml:space="preserve">This is the applicants' strongest single ground and is supported by contemporaneous, documentary evidence that is extremely difficult for the Commission to rebut.</w:t>
      </w:r>
    </w:p>
    <w:p>
      <w:pPr>
        <w:spacing w:before="40" w:after="40"/>
      </w:pPr>
      <w:r>
        <w:t xml:space="preserve"/>
      </w:r>
    </w:p>
    <w:p>
      <w:pPr>
        <w:spacing w:before="80" w:after="80"/>
      </w:pPr>
      <w:r>
        <w:rPr>
          <w:rFonts w:ascii="Arial" w:cs="Arial" w:eastAsia="Arial" w:hAnsi="Arial"/>
          <w:b/>
          <w:bCs/>
          <w:sz w:val="22"/>
          <w:szCs w:val="22"/>
        </w:rPr>
        <w:t xml:space="preserve">The precise sequence, directly evidenced:</w:t>
      </w:r>
    </w:p>
    <w:p>
      <w:pPr>
        <w:pStyle w:val="ListParagraph"/>
        <w:numPr>
          <w:ilvl w:val="0"/>
          <w:numId w:val="2"/>
        </w:numPr>
        <w:spacing w:before="60" w:after="60"/>
      </w:pPr>
      <w:r>
        <w:rPr>
          <w:rFonts w:ascii="Arial" w:cs="Arial" w:eastAsia="Arial" w:hAnsi="Arial"/>
          <w:b w:val="false"/>
          <w:bCs w:val="false"/>
          <w:sz w:val="22"/>
          <w:szCs w:val="22"/>
        </w:rPr>
        <w:t xml:space="preserve">Notices of intention to ban were dated 19 November 2022.</w:t>
      </w:r>
    </w:p>
    <w:p>
      <w:pPr>
        <w:pStyle w:val="ListParagraph"/>
        <w:numPr>
          <w:ilvl w:val="0"/>
          <w:numId w:val="2"/>
        </w:numPr>
        <w:spacing w:before="60" w:after="60"/>
      </w:pPr>
      <w:r>
        <w:rPr>
          <w:rFonts w:ascii="Arial" w:cs="Arial" w:eastAsia="Arial" w:hAnsi="Arial"/>
          <w:b w:val="false"/>
          <w:bCs w:val="false"/>
          <w:sz w:val="22"/>
          <w:szCs w:val="22"/>
        </w:rPr>
        <w:t xml:space="preserve">The notices stated a response deadline of 30 November 2022 — only 11 days from the date of the letter.</w:t>
      </w:r>
    </w:p>
    <w:p>
      <w:pPr>
        <w:pStyle w:val="ListParagraph"/>
        <w:numPr>
          <w:ilvl w:val="0"/>
          <w:numId w:val="2"/>
        </w:numPr>
        <w:spacing w:before="60" w:after="60"/>
      </w:pPr>
      <w:r>
        <w:rPr>
          <w:rFonts w:ascii="Arial" w:cs="Arial" w:eastAsia="Arial" w:hAnsi="Arial"/>
          <w:b w:val="false"/>
          <w:bCs w:val="false"/>
          <w:sz w:val="22"/>
          <w:szCs w:val="22"/>
        </w:rPr>
        <w:t xml:space="preserve">The letters were sent by registered post (requiring signature) to the registered address.</w:t>
      </w:r>
    </w:p>
    <w:p>
      <w:pPr>
        <w:pStyle w:val="ListParagraph"/>
        <w:numPr>
          <w:ilvl w:val="0"/>
          <w:numId w:val="2"/>
        </w:numPr>
        <w:spacing w:before="60" w:after="60"/>
      </w:pPr>
      <w:r>
        <w:rPr>
          <w:rFonts w:ascii="Arial" w:cs="Arial" w:eastAsia="Arial" w:hAnsi="Arial"/>
          <w:b w:val="false"/>
          <w:bCs w:val="false"/>
          <w:sz w:val="22"/>
          <w:szCs w:val="22"/>
        </w:rPr>
        <w:t xml:space="preserve">The letters were physically received by Vida Reid on the morning of 7 December 2022 — 18 days after posting and 7 days after the deadline had already passed.</w:t>
      </w:r>
    </w:p>
    <w:p>
      <w:pPr>
        <w:pStyle w:val="ListParagraph"/>
        <w:numPr>
          <w:ilvl w:val="0"/>
          <w:numId w:val="2"/>
        </w:numPr>
        <w:spacing w:before="60" w:after="60"/>
      </w:pPr>
      <w:r>
        <w:rPr>
          <w:rFonts w:ascii="Arial" w:cs="Arial" w:eastAsia="Arial" w:hAnsi="Arial"/>
          <w:b w:val="false"/>
          <w:bCs w:val="false"/>
          <w:sz w:val="22"/>
          <w:szCs w:val="22"/>
        </w:rPr>
        <w:t xml:space="preserve">The letters were not delivered to, or acknowledged by, the applicants' legal representatives (Tom Monks / Tom &amp; Co Legal) at any time before the deadline.</w:t>
      </w:r>
    </w:p>
    <w:p>
      <w:pPr>
        <w:pStyle w:val="ListParagraph"/>
        <w:numPr>
          <w:ilvl w:val="0"/>
          <w:numId w:val="2"/>
        </w:numPr>
        <w:spacing w:before="60" w:after="60"/>
      </w:pPr>
      <w:r>
        <w:rPr>
          <w:rFonts w:ascii="Arial" w:cs="Arial" w:eastAsia="Arial" w:hAnsi="Arial"/>
          <w:b w:val="false"/>
          <w:bCs w:val="false"/>
          <w:sz w:val="22"/>
          <w:szCs w:val="22"/>
        </w:rPr>
        <w:t xml:space="preserve">Ousman Kamara (not Vida or Simon Reid) appears to have signed for the registered post on 7 December 2022, raising a further question about valid service upon the named recipients.</w:t>
      </w:r>
    </w:p>
    <w:p>
      <w:pPr>
        <w:pStyle w:val="ListParagraph"/>
        <w:numPr>
          <w:ilvl w:val="0"/>
          <w:numId w:val="2"/>
        </w:numPr>
        <w:spacing w:before="60" w:after="60"/>
      </w:pPr>
      <w:r>
        <w:rPr>
          <w:rFonts w:ascii="Arial" w:cs="Arial" w:eastAsia="Arial" w:hAnsi="Arial"/>
          <w:b w:val="false"/>
          <w:bCs w:val="false"/>
          <w:sz w:val="22"/>
          <w:szCs w:val="22"/>
        </w:rPr>
        <w:t xml:space="preserve">The banning orders were formally made in January 2023 without any substantive response from the applicants.</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3.2 The Legal Framework</w:t>
      </w:r>
    </w:p>
    <w:p>
      <w:pPr>
        <w:spacing w:before="80" w:after="80"/>
      </w:pPr>
      <w:r>
        <w:rPr>
          <w:rFonts w:ascii="Arial" w:cs="Arial" w:eastAsia="Arial" w:hAnsi="Arial"/>
          <w:b/>
          <w:bCs/>
          <w:sz w:val="22"/>
          <w:szCs w:val="22"/>
        </w:rPr>
        <w:t xml:space="preserve">Section 73ZI of the National Disability Insurance Scheme Act 2013 (Cth) (NDIS Act)</w:t>
      </w:r>
      <w:r>
        <w:rPr>
          <w:rFonts w:ascii="Arial" w:cs="Arial" w:eastAsia="Arial" w:hAnsi="Arial"/>
          <w:sz w:val="22"/>
          <w:szCs w:val="22"/>
        </w:rPr>
        <w:t xml:space="preserve"> requires the Commission, before making a banning order, to give the person a written notice setting out the grounds and providing them a reasonable opportunity to make submissions. Section 73ZN sets out the substantive banning criteria.</w:t>
      </w:r>
    </w:p>
    <w:p>
      <w:pPr>
        <w:spacing w:before="40" w:after="40"/>
      </w:pPr>
      <w:r>
        <w:t xml:space="preserve"/>
      </w:r>
    </w:p>
    <w:p>
      <w:pPr>
        <w:spacing w:before="80" w:after="80"/>
      </w:pPr>
      <w:r>
        <w:rPr>
          <w:rFonts w:ascii="Arial" w:cs="Arial" w:eastAsia="Arial" w:hAnsi="Arial"/>
          <w:sz w:val="22"/>
          <w:szCs w:val="22"/>
        </w:rPr>
        <w:t xml:space="preserve">The duty of procedural fairness (natural justice) is also implied as a matter of administrative law — the hearing rule requires that a person be given adequate notice and a meaningful opportunity to respond before a decision adverse to their interests is made. This principle has deep roots in Australian administrative law.</w:t>
      </w:r>
    </w:p>
    <w:p>
      <w:pPr>
        <w:pStyle w:val="Heading2"/>
        <w:spacing w:before="280" w:after="120"/>
      </w:pPr>
      <w:r>
        <w:rPr>
          <w:rFonts w:ascii="Arial" w:cs="Arial" w:eastAsia="Arial" w:hAnsi="Arial"/>
          <w:b/>
          <w:bCs/>
          <w:color w:val="2E75B6"/>
          <w:sz w:val="26"/>
          <w:szCs w:val="26"/>
        </w:rPr>
        <w:t xml:space="preserve">3.3 Applicable Precedents</w:t>
      </w:r>
    </w:p>
    <w:p>
      <w:pPr>
        <w:pStyle w:val="Heading3"/>
        <w:spacing w:before="200" w:after="80"/>
      </w:pPr>
      <w:r>
        <w:rPr>
          <w:rFonts w:ascii="Arial" w:cs="Arial" w:eastAsia="Arial" w:hAnsi="Arial"/>
          <w:b/>
          <w:bCs/>
          <w:color w:val="404040"/>
          <w:sz w:val="24"/>
          <w:szCs w:val="24"/>
        </w:rPr>
        <w:t xml:space="preserve">Kioa v West (1985) 159 CLR 550 (High Court of Australia)</w:t>
      </w:r>
    </w:p>
    <w:p>
      <w:pPr>
        <w:pBdr>
          <w:left w:val="single" w:color="2E75B6" w:sz="12" w:space="8"/>
        </w:pBdr>
        <w:spacing w:before="80" w:after="80"/>
        <w:ind w:left="720" w:right="720"/>
      </w:pPr>
      <w:r>
        <w:rPr>
          <w:rFonts w:ascii="Arial" w:cs="Arial" w:eastAsia="Arial" w:hAnsi="Arial"/>
          <w:i/>
          <w:iCs/>
          <w:color w:val="444444"/>
          <w:sz w:val="20"/>
          <w:szCs w:val="20"/>
        </w:rPr>
        <w:t xml:space="preserve">A person is entitled to know the case against them and to have a real, not theoretical, opportunity to present their case before an adverse decision is made. The opportunity must be meaningful.</w:t>
      </w:r>
    </w:p>
    <w:p>
      <w:pPr>
        <w:spacing w:before="80" w:after="80"/>
      </w:pPr>
      <w:r>
        <w:rPr>
          <w:rFonts w:ascii="Arial" w:cs="Arial" w:eastAsia="Arial" w:hAnsi="Arial"/>
          <w:sz w:val="22"/>
          <w:szCs w:val="22"/>
        </w:rPr>
        <w:t xml:space="preserve">Mason J held that procedural fairness requires notice that is adequate in substance, not merely formal. The relevant question is whether the person had a genuine, practical opportunity to respond — not merely that notice was posted.</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Hot Holdings Pty Ltd v Creasy (1996) 185 CLR 149</w:t>
      </w:r>
    </w:p>
    <w:p>
      <w:pPr>
        <w:spacing w:before="80" w:after="80"/>
      </w:pPr>
      <w:r>
        <w:rPr>
          <w:rFonts w:ascii="Arial" w:cs="Arial" w:eastAsia="Arial" w:hAnsi="Arial"/>
          <w:sz w:val="22"/>
          <w:szCs w:val="22"/>
        </w:rPr>
        <w:t xml:space="preserve">The High Court confirmed that procedural fairness requires the decision-maker to actually consider submissions made, and that the right to be heard is undermined if the timeframe provided makes a meaningful response practically impossible.</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Re Minister for Immigration and Multicultural Affairs; Ex parte Lam (2003) 214 CLR 1</w:t>
      </w:r>
    </w:p>
    <w:p>
      <w:pPr>
        <w:pBdr>
          <w:left w:val="single" w:color="2E75B6" w:sz="12" w:space="8"/>
        </w:pBdr>
        <w:spacing w:before="80" w:after="80"/>
        <w:ind w:left="720" w:right="720"/>
      </w:pPr>
      <w:r>
        <w:rPr>
          <w:rFonts w:ascii="Arial" w:cs="Arial" w:eastAsia="Arial" w:hAnsi="Arial"/>
          <w:i/>
          <w:iCs/>
          <w:color w:val="444444"/>
          <w:sz w:val="20"/>
          <w:szCs w:val="20"/>
        </w:rPr>
        <w:t xml:space="preserve">Where the conduct of the decision-maker has contributed to the failure of the affected person to make submissions, the decision-maker cannot rely on the absence of submissions to assert that procedural fairness was satisfied.</w:t>
      </w:r>
    </w:p>
    <w:p>
      <w:pPr>
        <w:spacing w:before="80" w:after="80"/>
      </w:pPr>
      <w:r>
        <w:rPr>
          <w:rFonts w:ascii="Arial" w:cs="Arial" w:eastAsia="Arial" w:hAnsi="Arial"/>
          <w:sz w:val="22"/>
          <w:szCs w:val="22"/>
        </w:rPr>
        <w:t xml:space="preserve">Here, it was the Commission's postal service practices that caused the delay. The Commission cannot assert the deadline was valid when their own service method caused the failure of timely receipt.</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SZFDE v Minister for Immigration and Citizenship (2007) 232 CLR 189</w:t>
      </w:r>
    </w:p>
    <w:p>
      <w:pPr>
        <w:spacing w:before="80" w:after="80"/>
      </w:pPr>
      <w:r>
        <w:rPr>
          <w:rFonts w:ascii="Arial" w:cs="Arial" w:eastAsia="Arial" w:hAnsi="Arial"/>
          <w:sz w:val="22"/>
          <w:szCs w:val="22"/>
        </w:rPr>
        <w:t xml:space="preserve">The High Court confirmed that a decision infected by procedural unfairness is not merely voidable but goes to jurisdiction. A statutory obligation to give a person an opportunity to be heard is not discharged by providing an illusory opportunity.</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Minister for Immigration and Citizenship v SZIZO (2009) 238 CLR 627</w:t>
      </w:r>
    </w:p>
    <w:p>
      <w:pPr>
        <w:spacing w:before="80" w:after="80"/>
      </w:pPr>
      <w:r>
        <w:rPr>
          <w:rFonts w:ascii="Arial" w:cs="Arial" w:eastAsia="Arial" w:hAnsi="Arial"/>
          <w:sz w:val="22"/>
          <w:szCs w:val="22"/>
        </w:rPr>
        <w:t xml:space="preserve">Service of notices on individuals rather than on their known legal representative may itself constitute a failure of procedural fairness where the decision-maker is aware of the representation. The Commission knew the applicants were legally represented through Tom Monks.</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3.4 The Specific Fairness Defects</w:t>
      </w:r>
    </w:p>
    <w:p>
      <w:pPr>
        <w:spacing w:before="80" w:after="80"/>
      </w:pPr>
      <w:r>
        <w:rPr>
          <w:rFonts w:ascii="Arial" w:cs="Arial" w:eastAsia="Arial" w:hAnsi="Arial"/>
          <w:b/>
          <w:bCs/>
          <w:sz w:val="22"/>
          <w:szCs w:val="22"/>
        </w:rPr>
        <w:t xml:space="preserve">The procedural fairness argument operates across four compounding layers: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3560"/>
        <w:gridCol w:w="2800"/>
      </w:tblGrid>
      <w:tr>
        <w:tc>
          <w:tcPr>
            <w:tcW w:type="dxa" w:w="3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Defect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r>
              <w:rPr>
                <w:rFonts w:ascii="Arial" w:cs="Arial" w:eastAsia="Arial" w:hAnsi="Arial"/>
                <w:b/>
                <w:bCs/>
                <w:color w:val="8B0000"/>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Deadline calculated from date of postage, not receipt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Letters dated 19 Nov, deadline 30 Nov. Received 7 Dec — 7 days after deadline. Confirmed in Vida's 5 Jul 2023 email to Tom Monks.</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9"/>
                <w:szCs w:val="19"/>
              </w:rPr>
              <w:t xml:space="preserve">Zero effective response time. Opportunity was illusory.</w:t>
            </w:r>
          </w:p>
        </w:tc>
      </w:tr>
      <w:tr>
        <w:tc>
          <w:tcPr>
            <w:tcW w:type="dxa" w:w="3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r>
              <w:rPr>
                <w:rFonts w:ascii="Arial" w:cs="Arial" w:eastAsia="Arial" w:hAnsi="Arial"/>
                <w:b/>
                <w:bCs/>
                <w:color w:val="8B0000"/>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Letters not served on known legal representative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Vida expressly complained Commission 'knows damn well we have lawyers' and continued to send letters directly to individuals. Tom Monks was instructed solicitor.</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9"/>
                <w:szCs w:val="19"/>
              </w:rPr>
              <w:t xml:space="preserve">Lawyers could not begin preparing response until after deadline had lapsed.</w:t>
            </w:r>
          </w:p>
        </w:tc>
      </w:tr>
      <w:tr>
        <w:tc>
          <w:tcPr>
            <w:tcW w:type="dxa" w:w="3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7A5900"/>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Even the nominated deadline (11 days) is unreasonably short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Deadline of 30 November from 19 November letter = 11 calendar days. Covers multiple entities with complex operating histories and disputed conduct allegations.</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Even if received same day, 11 days would be unreasonably short for a ban of indefinite duration.</w:t>
            </w:r>
          </w:p>
        </w:tc>
      </w:tr>
      <w:tr>
        <w:tc>
          <w:tcPr>
            <w:tcW w:type="dxa" w:w="3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7A5900"/>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Simultaneous notices for multiple entities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Six separate entities served simultaneously: The Hive, Hybrid Hive, Infinity Living Options, Malibu House, Sahar &amp; Simon Pty Ltd, Exact Financial Solutions.</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Even with full notice period, simultaneous multi-entity banning without individual consideration is procedurally unfair.</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3.5 Assessment of This Ground</w:t>
      </w:r>
    </w:p>
    <w:p>
      <w:pPr>
        <w:spacing w:before="80" w:after="80"/>
      </w:pPr>
      <w:r>
        <w:rPr>
          <w:rFonts w:ascii="Arial" w:cs="Arial" w:eastAsia="Arial" w:hAnsi="Arial"/>
          <w:b/>
          <w:bCs/>
          <w:sz w:val="22"/>
          <w:szCs w:val="22"/>
        </w:rPr>
        <w:t xml:space="preserve">This ground is strong and well-evidenced. </w:t>
      </w:r>
      <w:r>
        <w:rPr>
          <w:rFonts w:ascii="Arial" w:cs="Arial" w:eastAsia="Arial" w:hAnsi="Arial"/>
          <w:sz w:val="22"/>
          <w:szCs w:val="22"/>
        </w:rPr>
        <w:t xml:space="preserve">The contemporaneous documentary record — Vida's email of 7 December 2022 (same-day notification to Tom Monks), the email of 5 July 2023 to Tom Monks setting out the sequence, and the Australia Post registered mail case details — creates a compelling evidential base that the Commission will struggle to displace.</w:t>
      </w:r>
    </w:p>
    <w:p>
      <w:pPr>
        <w:spacing w:before="40" w:after="40"/>
      </w:pPr>
      <w:r>
        <w:t xml:space="preserve"/>
      </w:r>
    </w:p>
    <w:p>
      <w:pPr>
        <w:spacing w:before="80" w:after="80"/>
      </w:pPr>
      <w:r>
        <w:rPr>
          <w:rFonts w:ascii="Arial" w:cs="Arial" w:eastAsia="Arial" w:hAnsi="Arial"/>
          <w:sz w:val="22"/>
          <w:szCs w:val="22"/>
        </w:rPr>
        <w:t xml:space="preserve">The ART must conduct a merits review, but the procedural defect is so fundamental that if established, it may independently warrant setting the decision aside and remitting for proper process. In judicial review terms, it would go to jurisdictional error. In merits review, it is a powerful factor in the overall assessment of the correctness and preferable decision.</w:t>
      </w:r>
    </w:p>
    <w:p>
      <w:pPr>
        <w:spacing w:before="40" w:after="40"/>
      </w:pPr>
      <w:r>
        <w:t xml:space="preserve"/>
      </w:r>
    </w:p>
    <w:p>
      <w:pPr>
        <w:spacing w:before="80" w:after="80"/>
      </w:pPr>
      <w:r>
        <w:rPr>
          <w:rFonts w:ascii="Arial" w:cs="Arial" w:eastAsia="Arial" w:hAnsi="Arial"/>
          <w:b/>
          <w:bCs/>
          <w:sz w:val="22"/>
          <w:szCs w:val="22"/>
        </w:rPr>
        <w:t xml:space="preserve">Probability assessment on this ground alone: </w:t>
      </w:r>
      <w:r>
        <w:rPr>
          <w:rFonts w:ascii="Arial" w:cs="Arial" w:eastAsia="Arial" w:hAnsi="Arial"/>
          <w:b/>
          <w:bCs/>
          <w:color w:val="1F6B31"/>
          <w:sz w:val="22"/>
          <w:szCs w:val="22"/>
        </w:rPr>
        <w:t xml:space="preserve">65–75% likelihood of the Tribunal finding the process was procedurally defective, with a 55–65% prospect this alone results in remittal or order modification.</w:t>
      </w:r>
    </w:p>
    <w:p>
      <w:pPr>
        <w:pStyle w:val="Heading1"/>
        <w:pBdr>
          <w:bottom w:val="single" w:color="1F4E79" w:sz="8" w:space="4"/>
        </w:pBdr>
        <w:spacing w:before="360" w:after="160"/>
      </w:pPr>
      <w:r>
        <w:rPr>
          <w:rFonts w:ascii="Arial" w:cs="Arial" w:eastAsia="Arial" w:hAnsi="Arial"/>
          <w:b/>
          <w:bCs/>
          <w:color w:val="1F4E79"/>
          <w:sz w:val="32"/>
          <w:szCs w:val="32"/>
        </w:rPr>
        <w:t xml:space="preserve">4. GROUND TWO: POST-HOC SHIFT IN STATUTORY BASIS</w:t>
      </w:r>
    </w:p>
    <w:p>
      <w:pPr>
        <w:pStyle w:val="Heading2"/>
        <w:spacing w:before="280" w:after="120"/>
      </w:pPr>
      <w:r>
        <w:rPr>
          <w:rFonts w:ascii="Arial" w:cs="Arial" w:eastAsia="Arial" w:hAnsi="Arial"/>
          <w:b/>
          <w:bCs/>
          <w:color w:val="2E75B6"/>
          <w:sz w:val="26"/>
          <w:szCs w:val="26"/>
        </w:rPr>
        <w:t xml:space="preserve">4.1 The Facts</w:t>
      </w:r>
    </w:p>
    <w:p>
      <w:pPr>
        <w:spacing w:before="80" w:after="80"/>
      </w:pPr>
      <w:r>
        <w:rPr>
          <w:rFonts w:ascii="Arial" w:cs="Arial" w:eastAsia="Arial" w:hAnsi="Arial"/>
          <w:sz w:val="22"/>
          <w:szCs w:val="22"/>
        </w:rPr>
        <w:t xml:space="preserve">The AFCA draft complaint prepared by Simon Reid (March 2025) — based on correspondence received from the Commission — records a critical fact:</w:t>
      </w:r>
    </w:p>
    <w:p>
      <w:pPr>
        <w:spacing w:before="40" w:after="40"/>
      </w:pPr>
      <w:r>
        <w:t xml:space="preserve"/>
      </w:r>
    </w:p>
    <w:p>
      <w:pPr>
        <w:pBdr>
          <w:left w:val="single" w:color="2E75B6" w:sz="12" w:space="8"/>
        </w:pBdr>
        <w:spacing w:before="80" w:after="80"/>
        <w:ind w:left="720" w:right="720"/>
      </w:pPr>
      <w:r>
        <w:rPr>
          <w:rFonts w:ascii="Arial" w:cs="Arial" w:eastAsia="Arial" w:hAnsi="Arial"/>
          <w:i/>
          <w:iCs/>
          <w:color w:val="444444"/>
          <w:sz w:val="20"/>
          <w:szCs w:val="20"/>
        </w:rPr>
        <w:t xml:space="preserve">"The NDIS Commission's internal review has changed the legal basis for the banning order from section 73ZN(2)(a)(i) (contravention of the NDIS Act) to section 73ZN(2)(a)(iii) (suitability to be involved), effectively abandoning the specific allegations of misconduct that [the insurer] relied upon in denying coverage."</w:t>
      </w:r>
    </w:p>
    <w:p>
      <w:pPr>
        <w:spacing w:before="40" w:after="40"/>
      </w:pPr>
      <w:r>
        <w:t xml:space="preserve"/>
      </w:r>
    </w:p>
    <w:p>
      <w:pPr>
        <w:spacing w:before="80" w:after="80"/>
      </w:pPr>
      <w:r>
        <w:rPr>
          <w:rFonts w:ascii="Arial" w:cs="Arial" w:eastAsia="Arial" w:hAnsi="Arial"/>
          <w:sz w:val="22"/>
          <w:szCs w:val="22"/>
        </w:rPr>
        <w:t xml:space="preserve">This is legally significant for the following reasons:</w:t>
      </w:r>
    </w:p>
    <w:p>
      <w:pPr>
        <w:pStyle w:val="Heading2"/>
        <w:spacing w:before="280" w:after="120"/>
      </w:pPr>
      <w:r>
        <w:rPr>
          <w:rFonts w:ascii="Arial" w:cs="Arial" w:eastAsia="Arial" w:hAnsi="Arial"/>
          <w:b/>
          <w:bCs/>
          <w:color w:val="2E75B6"/>
          <w:sz w:val="26"/>
          <w:szCs w:val="26"/>
        </w:rPr>
        <w:t xml:space="preserve">4.2 The Statutory Framework</w:t>
      </w:r>
    </w:p>
    <w:p>
      <w:pPr>
        <w:spacing w:before="80" w:after="80"/>
      </w:pPr>
      <w:r>
        <w:rPr>
          <w:rFonts w:ascii="Arial" w:cs="Arial" w:eastAsia="Arial" w:hAnsi="Arial"/>
          <w:b/>
          <w:bCs/>
          <w:sz w:val="22"/>
          <w:szCs w:val="22"/>
        </w:rPr>
        <w:t xml:space="preserve">Section 73ZN(2) of the NDIS Act</w:t>
      </w:r>
      <w:r>
        <w:rPr>
          <w:rFonts w:ascii="Arial" w:cs="Arial" w:eastAsia="Arial" w:hAnsi="Arial"/>
          <w:sz w:val="22"/>
          <w:szCs w:val="22"/>
        </w:rPr>
        <w:t xml:space="preserve"> provides three distinct grounds on which the Commissioner may make a banning order:</w:t>
      </w:r>
    </w:p>
    <w:p>
      <w:pPr>
        <w:pStyle w:val="ListParagraph"/>
        <w:numPr>
          <w:ilvl w:val="0"/>
          <w:numId w:val="3"/>
        </w:numPr>
        <w:spacing w:before="60" w:after="60"/>
      </w:pPr>
      <w:r>
        <w:rPr>
          <w:rFonts w:ascii="Arial" w:cs="Arial" w:eastAsia="Arial" w:hAnsi="Arial"/>
          <w:b w:val="false"/>
          <w:bCs w:val="false"/>
          <w:sz w:val="22"/>
          <w:szCs w:val="22"/>
        </w:rPr>
        <w:t xml:space="preserve">(a)(i) — The person has contravened or is likely to contravene the NDIS Act or Rules (the original and more serious ground — misconduct/fraud based);</w:t>
      </w:r>
    </w:p>
    <w:p>
      <w:pPr>
        <w:pStyle w:val="ListParagraph"/>
        <w:numPr>
          <w:ilvl w:val="0"/>
          <w:numId w:val="3"/>
        </w:numPr>
        <w:spacing w:before="60" w:after="60"/>
      </w:pPr>
      <w:r>
        <w:rPr>
          <w:rFonts w:ascii="Arial" w:cs="Arial" w:eastAsia="Arial" w:hAnsi="Arial"/>
          <w:b w:val="false"/>
          <w:bCs w:val="false"/>
          <w:sz w:val="22"/>
          <w:szCs w:val="22"/>
        </w:rPr>
        <w:t xml:space="preserve">(a)(ii) — The person is not fit and proper;</w:t>
      </w:r>
    </w:p>
    <w:p>
      <w:pPr>
        <w:pStyle w:val="ListParagraph"/>
        <w:numPr>
          <w:ilvl w:val="0"/>
          <w:numId w:val="3"/>
        </w:numPr>
        <w:spacing w:before="60" w:after="60"/>
      </w:pPr>
      <w:r>
        <w:rPr>
          <w:rFonts w:ascii="Arial" w:cs="Arial" w:eastAsia="Arial" w:hAnsi="Arial"/>
          <w:b w:val="false"/>
          <w:bCs w:val="false"/>
          <w:sz w:val="22"/>
          <w:szCs w:val="22"/>
        </w:rPr>
        <w:t xml:space="preserve">(a)(iii) — The person is not suitable to be involved in the provision of supports or services.</w:t>
      </w:r>
    </w:p>
    <w:p>
      <w:pPr>
        <w:spacing w:before="40" w:after="40"/>
      </w:pPr>
      <w:r>
        <w:t xml:space="preserve"/>
      </w:r>
    </w:p>
    <w:p>
      <w:pPr>
        <w:spacing w:before="80" w:after="80"/>
      </w:pPr>
      <w:r>
        <w:rPr>
          <w:rFonts w:ascii="Arial" w:cs="Arial" w:eastAsia="Arial" w:hAnsi="Arial"/>
          <w:sz w:val="22"/>
          <w:szCs w:val="22"/>
        </w:rPr>
        <w:t xml:space="preserve">The original ban was made on s73ZN(2)(a)(i) grounds — contravention. </w:t>
      </w:r>
      <w:r>
        <w:rPr>
          <w:rFonts w:ascii="Arial" w:cs="Arial" w:eastAsia="Arial" w:hAnsi="Arial"/>
          <w:sz w:val="22"/>
          <w:szCs w:val="22"/>
        </w:rPr>
        <w:t xml:space="preserve">The internal review shifted the basis to s73ZN(2)(a)(iii) — suitability.</w:t>
      </w:r>
    </w:p>
    <w:p>
      <w:pPr>
        <w:pStyle w:val="Heading2"/>
        <w:spacing w:before="280" w:after="120"/>
      </w:pPr>
      <w:r>
        <w:rPr>
          <w:rFonts w:ascii="Arial" w:cs="Arial" w:eastAsia="Arial" w:hAnsi="Arial"/>
          <w:b/>
          <w:bCs/>
          <w:color w:val="2E75B6"/>
          <w:sz w:val="26"/>
          <w:szCs w:val="26"/>
        </w:rPr>
        <w:t xml:space="preserve">4.3 Why This Matters</w:t>
      </w:r>
    </w:p>
    <w:p>
      <w:pPr>
        <w:spacing w:before="80" w:after="80"/>
      </w:pPr>
      <w:r>
        <w:rPr>
          <w:rFonts w:ascii="Arial" w:cs="Arial" w:eastAsia="Arial" w:hAnsi="Arial"/>
          <w:sz w:val="22"/>
          <w:szCs w:val="22"/>
        </w:rPr>
        <w:t xml:space="preserve">A decision-maker cannot, in defending or reviewing a decision, substitute an entirely different statutory basis for the decision that was actually made. The original notice of intention and the original banning order were made on one set of grounds (s(a)(i) — contraventions). The applicants were given their (inadequate) opportunity to respond to that case. If the Commission now relies on a wholly different statutory ground (s(a)(iii) — suitability), the applicants were never given a meaningful opportunity to address that case.</w:t>
      </w:r>
    </w:p>
    <w:p>
      <w:pPr>
        <w:spacing w:before="40" w:after="40"/>
      </w:pPr>
      <w:r>
        <w:t xml:space="preserve"/>
      </w:r>
    </w:p>
    <w:p>
      <w:pPr>
        <w:spacing w:before="80" w:after="80"/>
      </w:pPr>
      <w:r>
        <w:rPr>
          <w:rFonts w:ascii="Arial" w:cs="Arial" w:eastAsia="Arial" w:hAnsi="Arial"/>
          <w:sz w:val="22"/>
          <w:szCs w:val="22"/>
        </w:rPr>
        <w:t xml:space="preserve">This is analogous to the principle in:</w:t>
      </w:r>
    </w:p>
    <w:p>
      <w:pPr>
        <w:pStyle w:val="Heading3"/>
        <w:spacing w:before="200" w:after="80"/>
      </w:pPr>
      <w:r>
        <w:rPr>
          <w:rFonts w:ascii="Arial" w:cs="Arial" w:eastAsia="Arial" w:hAnsi="Arial"/>
          <w:b/>
          <w:bCs/>
          <w:color w:val="404040"/>
          <w:sz w:val="24"/>
          <w:szCs w:val="24"/>
        </w:rPr>
        <w:t xml:space="preserve">Applicant S v Minister for Immigration and Multicultural Affairs (2004) 217 CLR 387</w:t>
      </w:r>
    </w:p>
    <w:p>
      <w:pPr>
        <w:pBdr>
          <w:left w:val="single" w:color="2E75B6" w:sz="12" w:space="8"/>
        </w:pBdr>
        <w:spacing w:before="80" w:after="80"/>
        <w:ind w:left="720" w:right="720"/>
      </w:pPr>
      <w:r>
        <w:rPr>
          <w:rFonts w:ascii="Arial" w:cs="Arial" w:eastAsia="Arial" w:hAnsi="Arial"/>
          <w:i/>
          <w:iCs/>
          <w:color w:val="444444"/>
          <w:sz w:val="20"/>
          <w:szCs w:val="20"/>
        </w:rPr>
        <w:t xml:space="preserve">A decision cannot be sustained on a different basis from that actually relied upon. The affected person must have the opportunity to address the case as it was actually put and as it was actually decided.</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Minister for Immigration and Border Protection v WZARH (2015) 256 CLR 326</w:t>
      </w:r>
    </w:p>
    <w:p>
      <w:pPr>
        <w:spacing w:before="80" w:after="80"/>
      </w:pPr>
      <w:r>
        <w:rPr>
          <w:rFonts w:ascii="Arial" w:cs="Arial" w:eastAsia="Arial" w:hAnsi="Arial"/>
          <w:sz w:val="22"/>
          <w:szCs w:val="22"/>
        </w:rPr>
        <w:t xml:space="preserve">The High Court confirmed that the hearing obligation attaches to the actual case being run, not a reconstructed post-hoc version. A shift in the substantive basis of a decision after the fact is a significant procedural fairness problem.</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4.4 Assessment</w:t>
      </w:r>
    </w:p>
    <w:p>
      <w:pPr>
        <w:spacing w:before="80" w:after="80"/>
      </w:pPr>
      <w:r>
        <w:rPr>
          <w:rFonts w:ascii="Arial" w:cs="Arial" w:eastAsia="Arial" w:hAnsi="Arial"/>
          <w:b/>
          <w:bCs/>
          <w:sz w:val="22"/>
          <w:szCs w:val="22"/>
        </w:rPr>
        <w:t xml:space="preserve">This ground is good to strong. </w:t>
      </w:r>
      <w:r>
        <w:rPr>
          <w:rFonts w:ascii="Arial" w:cs="Arial" w:eastAsia="Arial" w:hAnsi="Arial"/>
          <w:sz w:val="22"/>
          <w:szCs w:val="22"/>
        </w:rPr>
        <w:t xml:space="preserve">The shift from (a)(i) to (a)(iii) is not a minor recalibration — these are distinct statutory grounds with different evidentiary requirements. The 'suitability' test (a)(iii) involves a broader and more subjective assessment than the 'contravention' test (a)(i). Having been denied a proper hearing on the original (a)(i) case, the applicants were also denied any opportunity to address an (a)(iii) 'suitability' case — which was never squarely put to them.</w:t>
      </w:r>
    </w:p>
    <w:p>
      <w:pPr>
        <w:spacing w:before="40" w:after="40"/>
      </w:pPr>
      <w:r>
        <w:t xml:space="preserve"/>
      </w:r>
    </w:p>
    <w:p>
      <w:pPr>
        <w:spacing w:before="80" w:after="80"/>
      </w:pPr>
      <w:r>
        <w:rPr>
          <w:rFonts w:ascii="Arial" w:cs="Arial" w:eastAsia="Arial" w:hAnsi="Arial"/>
          <w:b/>
          <w:bCs/>
          <w:sz w:val="22"/>
          <w:szCs w:val="22"/>
        </w:rPr>
        <w:t xml:space="preserve">Probability assessment on this ground: </w:t>
      </w:r>
      <w:r>
        <w:rPr>
          <w:rFonts w:ascii="Arial" w:cs="Arial" w:eastAsia="Arial" w:hAnsi="Arial"/>
          <w:b/>
          <w:bCs/>
          <w:color w:val="CC6600"/>
          <w:sz w:val="22"/>
          <w:szCs w:val="22"/>
        </w:rPr>
        <w:t xml:space="preserve">60–70% likelihood that the ART finds the basis-shift constitutes an additional procedural defect or requires fresh merits examination.</w:t>
      </w:r>
    </w:p>
    <w:p>
      <w:pPr>
        <w:pStyle w:val="Heading1"/>
        <w:pBdr>
          <w:bottom w:val="single" w:color="1F4E79" w:sz="8" w:space="4"/>
        </w:pBdr>
        <w:spacing w:before="360" w:after="160"/>
      </w:pPr>
      <w:r>
        <w:rPr>
          <w:rFonts w:ascii="Arial" w:cs="Arial" w:eastAsia="Arial" w:hAnsi="Arial"/>
          <w:b/>
          <w:bCs/>
          <w:color w:val="1F4E79"/>
          <w:sz w:val="32"/>
          <w:szCs w:val="32"/>
        </w:rPr>
        <w:t xml:space="preserve">5. GROUND THREE: COLLAPSE OF CRIMINAL PROCEEDINGS AGAINST VIDA REID</w:t>
      </w:r>
    </w:p>
    <w:p>
      <w:pPr>
        <w:pStyle w:val="Heading2"/>
        <w:spacing w:before="280" w:after="120"/>
      </w:pPr>
      <w:r>
        <w:rPr>
          <w:rFonts w:ascii="Arial" w:cs="Arial" w:eastAsia="Arial" w:hAnsi="Arial"/>
          <w:b/>
          <w:bCs/>
          <w:color w:val="2E75B6"/>
          <w:sz w:val="26"/>
          <w:szCs w:val="26"/>
        </w:rPr>
        <w:t xml:space="preserve">5.1 The Facts</w:t>
      </w:r>
    </w:p>
    <w:p>
      <w:pPr>
        <w:spacing w:before="80" w:after="80"/>
      </w:pPr>
      <w:r>
        <w:rPr>
          <w:rFonts w:ascii="Arial" w:cs="Arial" w:eastAsia="Arial" w:hAnsi="Arial"/>
          <w:b/>
          <w:bCs/>
          <w:sz w:val="22"/>
          <w:szCs w:val="22"/>
        </w:rPr>
        <w:t xml:space="preserve">On 23 February 2024, </w:t>
      </w:r>
      <w:r>
        <w:rPr>
          <w:rFonts w:ascii="Arial" w:cs="Arial" w:eastAsia="Arial" w:hAnsi="Arial"/>
          <w:b/>
          <w:bCs/>
          <w:color w:val="1F6B31"/>
          <w:sz w:val="22"/>
          <w:szCs w:val="22"/>
        </w:rPr>
        <w:t xml:space="preserve">all criminal charges against Vida Reid were completely dropped.</w:t>
      </w:r>
      <w:r>
        <w:rPr>
          <w:rFonts w:ascii="Arial" w:cs="Arial" w:eastAsia="Arial" w:hAnsi="Arial"/>
          <w:sz w:val="22"/>
          <w:szCs w:val="22"/>
        </w:rPr>
        <w:t xml:space="preserve"> This is documented in the AFCA complaint draft prepared by Simon Reid (March 2025), which states:</w:t>
      </w:r>
    </w:p>
    <w:p>
      <w:pPr>
        <w:spacing w:before="40" w:after="40"/>
      </w:pPr>
      <w:r>
        <w:t xml:space="preserve"/>
      </w:r>
    </w:p>
    <w:p>
      <w:pPr>
        <w:pBdr>
          <w:left w:val="single" w:color="2E75B6" w:sz="12" w:space="8"/>
        </w:pBdr>
        <w:spacing w:before="80" w:after="80"/>
        <w:ind w:left="720" w:right="720"/>
      </w:pPr>
      <w:r>
        <w:rPr>
          <w:rFonts w:ascii="Arial" w:cs="Arial" w:eastAsia="Arial" w:hAnsi="Arial"/>
          <w:i/>
          <w:iCs/>
          <w:color w:val="444444"/>
          <w:sz w:val="20"/>
          <w:szCs w:val="20"/>
        </w:rPr>
        <w:t xml:space="preserve">"Since ProRisk's decision, the criminal charges against Vida Reid that formed the foundation of the allegations referenced in the indemnity denial have been completely dropped (as of February 23, 2024). The ProRisk denial letter explicitly mentioned these criminal charges as part of its reasoning."</w:t>
      </w:r>
    </w:p>
    <w:p>
      <w:pPr>
        <w:spacing w:before="40" w:after="40"/>
      </w:pPr>
      <w:r>
        <w:t xml:space="preserve"/>
      </w:r>
    </w:p>
    <w:p>
      <w:pPr>
        <w:spacing w:before="80" w:after="80"/>
      </w:pPr>
      <w:r>
        <w:rPr>
          <w:rFonts w:ascii="Arial" w:cs="Arial" w:eastAsia="Arial" w:hAnsi="Arial"/>
          <w:sz w:val="22"/>
          <w:szCs w:val="22"/>
        </w:rPr>
        <w:t xml:space="preserve">The criminal charges — which included (on the available record) allegations that underpinned the Commission's characterisation of the applicants' conduct — were the cornerstone of the Commission's most serious factual claims.</w:t>
      </w:r>
    </w:p>
    <w:p>
      <w:pPr>
        <w:pStyle w:val="Heading2"/>
        <w:spacing w:before="280" w:after="120"/>
      </w:pPr>
      <w:r>
        <w:rPr>
          <w:rFonts w:ascii="Arial" w:cs="Arial" w:eastAsia="Arial" w:hAnsi="Arial"/>
          <w:b/>
          <w:bCs/>
          <w:color w:val="2E75B6"/>
          <w:sz w:val="26"/>
          <w:szCs w:val="26"/>
        </w:rPr>
        <w:t xml:space="preserve">5.2 The Legal Impact</w:t>
      </w:r>
    </w:p>
    <w:p>
      <w:pPr>
        <w:spacing w:before="80" w:after="80"/>
      </w:pPr>
      <w:r>
        <w:rPr>
          <w:rFonts w:ascii="Arial" w:cs="Arial" w:eastAsia="Arial" w:hAnsi="Arial"/>
          <w:sz w:val="22"/>
          <w:szCs w:val="22"/>
        </w:rPr>
        <w:t xml:space="preserve">In a merits review, the ART must determine the 'correct or preferable' decision as at the time of its own decision, not merely as at the date of the original decision: s 43(1) of the Administrative Review Tribunal Act 2024 (Cth) (formerly AAT Act 1975 s 43(1)).</w:t>
      </w:r>
    </w:p>
    <w:p>
      <w:pPr>
        <w:spacing w:before="40" w:after="40"/>
      </w:pPr>
      <w:r>
        <w:t xml:space="preserve"/>
      </w:r>
    </w:p>
    <w:p>
      <w:pPr>
        <w:spacing w:before="80" w:after="80"/>
      </w:pPr>
      <w:r>
        <w:rPr>
          <w:rFonts w:ascii="Arial" w:cs="Arial" w:eastAsia="Arial" w:hAnsi="Arial"/>
          <w:sz w:val="22"/>
          <w:szCs w:val="22"/>
        </w:rPr>
        <w:t xml:space="preserve">This means post-decision events can and must be taken into account. The complete exoneration of Vida Reid in criminal proceedings — proceedings that arose from the same conduct underlying the banning order — is highly material to both the merits and the proportionality of the ban.</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Shi v Migration Agents Registration Authority (2008) 235 CLR 286 (High Court)</w:t>
      </w:r>
    </w:p>
    <w:p>
      <w:pPr>
        <w:pBdr>
          <w:left w:val="single" w:color="2E75B6" w:sz="12" w:space="8"/>
        </w:pBdr>
        <w:spacing w:before="80" w:after="80"/>
        <w:ind w:left="720" w:right="720"/>
      </w:pPr>
      <w:r>
        <w:rPr>
          <w:rFonts w:ascii="Arial" w:cs="Arial" w:eastAsia="Arial" w:hAnsi="Arial"/>
          <w:i/>
          <w:iCs/>
          <w:color w:val="444444"/>
          <w:sz w:val="20"/>
          <w:szCs w:val="20"/>
        </w:rPr>
        <w:t xml:space="preserve">On merits review, the Tribunal stands in the shoes of the original decision-maker and must determine the correct and preferable decision based on the facts and law as they exist at the time of the review, not at the time of the original decision. New material may be considered.</w:t>
      </w:r>
    </w:p>
    <w:p>
      <w:pPr>
        <w:spacing w:before="40" w:after="40"/>
      </w:pPr>
      <w:r>
        <w:t xml:space="preserve"/>
      </w:r>
    </w:p>
    <w:p>
      <w:pPr>
        <w:pStyle w:val="Heading3"/>
        <w:spacing w:before="200" w:after="80"/>
      </w:pPr>
      <w:r>
        <w:rPr>
          <w:rFonts w:ascii="Arial" w:cs="Arial" w:eastAsia="Arial" w:hAnsi="Arial"/>
          <w:b/>
          <w:bCs/>
          <w:color w:val="404040"/>
          <w:sz w:val="24"/>
          <w:szCs w:val="24"/>
        </w:rPr>
        <w:t xml:space="preserve">Jamal v Secretary, Department of Health and Human Services [2017] FCAFC 161</w:t>
      </w:r>
    </w:p>
    <w:p>
      <w:pPr>
        <w:spacing w:before="80" w:after="80"/>
      </w:pPr>
      <w:r>
        <w:rPr>
          <w:rFonts w:ascii="Arial" w:cs="Arial" w:eastAsia="Arial" w:hAnsi="Arial"/>
          <w:sz w:val="22"/>
          <w:szCs w:val="22"/>
        </w:rPr>
        <w:t xml:space="preserve">A subsequent acquittal or withdrawal of charges is highly relevant to any review of a regulatory decision premised on findings of criminal or quasi-criminal conduct, even where the regulatory test is different from the criminal standard of proof.</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5.3 The Proportionality Argument</w:t>
      </w:r>
    </w:p>
    <w:p>
      <w:pPr>
        <w:spacing w:before="80" w:after="80"/>
      </w:pPr>
      <w:r>
        <w:rPr>
          <w:rFonts w:ascii="Arial" w:cs="Arial" w:eastAsia="Arial" w:hAnsi="Arial"/>
          <w:sz w:val="22"/>
          <w:szCs w:val="22"/>
        </w:rPr>
        <w:t xml:space="preserve">Even if the ART accepts that the original ban was lawfully made on the information available at the time, the collapsed criminal proceedings are directly relevant to whether the ban should continue or be modified. The NDIS banning power is discretionary. An indefinite ban premised substantially on criminal conduct allegations that were entirely withdrawn is disproportionate to its regulatory purpose.</w:t>
      </w:r>
    </w:p>
    <w:p>
      <w:pPr>
        <w:spacing w:before="40" w:after="40"/>
      </w:pPr>
      <w:r>
        <w:t xml:space="preserve"/>
      </w:r>
    </w:p>
    <w:p>
      <w:pPr>
        <w:spacing w:before="80" w:after="80"/>
      </w:pPr>
      <w:r>
        <w:rPr>
          <w:rFonts w:ascii="Arial" w:cs="Arial" w:eastAsia="Arial" w:hAnsi="Arial"/>
          <w:b/>
          <w:bCs/>
          <w:sz w:val="22"/>
          <w:szCs w:val="22"/>
        </w:rPr>
        <w:t xml:space="preserve">Probability assessment on this ground (Vida Reid): </w:t>
      </w:r>
      <w:r>
        <w:rPr>
          <w:rFonts w:ascii="Arial" w:cs="Arial" w:eastAsia="Arial" w:hAnsi="Arial"/>
          <w:b/>
          <w:bCs/>
          <w:color w:val="1F6B31"/>
          <w:sz w:val="22"/>
          <w:szCs w:val="22"/>
        </w:rPr>
        <w:t xml:space="preserve">75–85% that the ART treats the dropped charges as material to Vida's case. Strong prospect of the ART finding the ban disproportionate or that the 'suitability' assessment needs complete re-examination.</w:t>
      </w:r>
    </w:p>
    <w:p>
      <w:pPr>
        <w:pStyle w:val="Heading1"/>
        <w:pBdr>
          <w:bottom w:val="single" w:color="1F4E79" w:sz="8" w:space="4"/>
        </w:pBdr>
        <w:spacing w:before="360" w:after="160"/>
      </w:pPr>
      <w:r>
        <w:rPr>
          <w:rFonts w:ascii="Arial" w:cs="Arial" w:eastAsia="Arial" w:hAnsi="Arial"/>
          <w:b/>
          <w:bCs/>
          <w:color w:val="1F4E79"/>
          <w:sz w:val="32"/>
          <w:szCs w:val="32"/>
        </w:rPr>
        <w:t xml:space="preserve">6. GROUND FOUR: OVERBROAD APPLICATION TO NON-OPERATING ENTITIES</w:t>
      </w:r>
    </w:p>
    <w:p>
      <w:pPr>
        <w:pStyle w:val="Heading2"/>
        <w:spacing w:before="280" w:after="120"/>
      </w:pPr>
      <w:r>
        <w:rPr>
          <w:rFonts w:ascii="Arial" w:cs="Arial" w:eastAsia="Arial" w:hAnsi="Arial"/>
          <w:b/>
          <w:bCs/>
          <w:color w:val="2E75B6"/>
          <w:sz w:val="26"/>
          <w:szCs w:val="26"/>
        </w:rPr>
        <w:t xml:space="preserve">6.1 The Facts</w:t>
      </w:r>
    </w:p>
    <w:p>
      <w:pPr>
        <w:spacing w:before="80" w:after="80"/>
      </w:pPr>
      <w:r>
        <w:rPr>
          <w:rFonts w:ascii="Arial" w:cs="Arial" w:eastAsia="Arial" w:hAnsi="Arial"/>
          <w:sz w:val="22"/>
          <w:szCs w:val="22"/>
        </w:rPr>
        <w:t xml:space="preserve">Vida Reid's email of 7 December 2022 to Tom Monks expressly raises this issue:</w:t>
      </w:r>
    </w:p>
    <w:p>
      <w:pPr>
        <w:spacing w:before="40" w:after="40"/>
      </w:pPr>
      <w:r>
        <w:t xml:space="preserve"/>
      </w:r>
    </w:p>
    <w:p>
      <w:pPr>
        <w:pBdr>
          <w:left w:val="single" w:color="2E75B6" w:sz="12" w:space="8"/>
        </w:pBdr>
        <w:spacing w:before="80" w:after="80"/>
        <w:ind w:left="720" w:right="720"/>
      </w:pPr>
      <w:r>
        <w:rPr>
          <w:rFonts w:ascii="Arial" w:cs="Arial" w:eastAsia="Arial" w:hAnsi="Arial"/>
          <w:i/>
          <w:iCs/>
          <w:color w:val="444444"/>
          <w:sz w:val="20"/>
          <w:szCs w:val="20"/>
        </w:rPr>
        <w:t xml:space="preserve">"Malibu House — This is a trust for the property we have bought and is not an operating business in NDIS space at all in any way shape or form. It is not just or fair to link our whole life to NDIS. Sahar and Simon Pty Ltd — This is a trust for the property we have bought and is not an operating business in NDIS space at all in any way shape or form."</w:t>
      </w:r>
    </w:p>
    <w:p>
      <w:pPr>
        <w:spacing w:before="40" w:after="40"/>
      </w:pPr>
      <w:r>
        <w:t xml:space="preserve"/>
      </w:r>
    </w:p>
    <w:p>
      <w:pPr>
        <w:spacing w:before="80" w:after="80"/>
      </w:pPr>
      <w:r>
        <w:rPr>
          <w:rFonts w:ascii="Arial" w:cs="Arial" w:eastAsia="Arial" w:hAnsi="Arial"/>
          <w:sz w:val="22"/>
          <w:szCs w:val="22"/>
        </w:rPr>
        <w:t xml:space="preserve">Similarly, with respect to Infinity Living Options and Exact Financial Solutions, Vida denied the capacity in which she was named (as a shareholder and purported company secretary respectively, without being an operational director/controller).</w:t>
      </w:r>
    </w:p>
    <w:p>
      <w:pPr>
        <w:pStyle w:val="Heading2"/>
        <w:spacing w:before="280" w:after="120"/>
      </w:pPr>
      <w:r>
        <w:rPr>
          <w:rFonts w:ascii="Arial" w:cs="Arial" w:eastAsia="Arial" w:hAnsi="Arial"/>
          <w:b/>
          <w:bCs/>
          <w:color w:val="2E75B6"/>
          <w:sz w:val="26"/>
          <w:szCs w:val="26"/>
        </w:rPr>
        <w:t xml:space="preserve">6.2 The Legal Argument</w:t>
      </w:r>
    </w:p>
    <w:p>
      <w:pPr>
        <w:spacing w:before="80" w:after="80"/>
      </w:pPr>
      <w:r>
        <w:rPr>
          <w:rFonts w:ascii="Arial" w:cs="Arial" w:eastAsia="Arial" w:hAnsi="Arial"/>
          <w:sz w:val="22"/>
          <w:szCs w:val="22"/>
        </w:rPr>
        <w:t xml:space="preserve">The NDIS Act banning provisions are directed at 'persons' who are 'involved in the provision of' NDIS supports or services. Section 73ZN(2)(a)(iii) asks whether the person is 'suitable to be involved in the provision of supports or services under the NDIS.'</w:t>
      </w:r>
    </w:p>
    <w:p>
      <w:pPr>
        <w:spacing w:before="40" w:after="40"/>
      </w:pPr>
      <w:r>
        <w:t xml:space="preserve"/>
      </w:r>
    </w:p>
    <w:p>
      <w:pPr>
        <w:spacing w:before="80" w:after="80"/>
      </w:pPr>
      <w:r>
        <w:rPr>
          <w:rFonts w:ascii="Arial" w:cs="Arial" w:eastAsia="Arial" w:hAnsi="Arial"/>
          <w:sz w:val="22"/>
          <w:szCs w:val="22"/>
        </w:rPr>
        <w:t xml:space="preserve">A property trust that has never operated in the NDIS space cannot rationally be the subject of a banning order. Its inclusion in the ban reflects either administrative error or an overreach by the Commission that exceeds the statutory power. In either case, the ban in relation to those entities is susceptible to challenge on jurisdictional or merits grounds.</w:t>
      </w:r>
    </w:p>
    <w:p>
      <w:pPr>
        <w:spacing w:before="40" w:after="40"/>
      </w:pPr>
      <w:r>
        <w:t xml:space="preserve"/>
      </w:r>
    </w:p>
    <w:p>
      <w:pPr>
        <w:spacing w:before="80" w:after="80"/>
      </w:pPr>
      <w:r>
        <w:rPr>
          <w:rFonts w:ascii="Arial" w:cs="Arial" w:eastAsia="Arial" w:hAnsi="Arial"/>
          <w:b/>
          <w:bCs/>
          <w:sz w:val="22"/>
          <w:szCs w:val="22"/>
        </w:rPr>
        <w:t xml:space="preserve">Probability assessment for non-NDIS entities: </w:t>
      </w:r>
      <w:r>
        <w:rPr>
          <w:rFonts w:ascii="Arial" w:cs="Arial" w:eastAsia="Arial" w:hAnsi="Arial"/>
          <w:b/>
          <w:bCs/>
          <w:color w:val="1F6B31"/>
          <w:sz w:val="22"/>
          <w:szCs w:val="22"/>
        </w:rPr>
        <w:t xml:space="preserve">80%+ prospect of the ART varying or removing the ban with respect to Malibu House, Sahar &amp; Simon Pty Ltd, and arguably Exact Financial Solutions. These are readily distinguishable from operating NDIS entities.</w:t>
      </w:r>
    </w:p>
    <w:p>
      <w:pPr>
        <w:pStyle w:val="Heading1"/>
        <w:pBdr>
          <w:bottom w:val="single" w:color="1F4E79" w:sz="8" w:space="4"/>
        </w:pBdr>
        <w:spacing w:before="360" w:after="160"/>
      </w:pPr>
      <w:r>
        <w:rPr>
          <w:rFonts w:ascii="Arial" w:cs="Arial" w:eastAsia="Arial" w:hAnsi="Arial"/>
          <w:b/>
          <w:bCs/>
          <w:color w:val="1F4E79"/>
          <w:sz w:val="32"/>
          <w:szCs w:val="32"/>
        </w:rPr>
        <w:t xml:space="preserve">7. GROUND FIVE: MERITS — THE SUBSTANTIVE ALLEGATIONS</w:t>
      </w:r>
    </w:p>
    <w:p>
      <w:pPr>
        <w:pStyle w:val="Heading2"/>
        <w:spacing w:before="280" w:after="120"/>
      </w:pPr>
      <w:r>
        <w:rPr>
          <w:rFonts w:ascii="Arial" w:cs="Arial" w:eastAsia="Arial" w:hAnsi="Arial"/>
          <w:b/>
          <w:bCs/>
          <w:color w:val="2E75B6"/>
          <w:sz w:val="26"/>
          <w:szCs w:val="26"/>
        </w:rPr>
        <w:t xml:space="preserve">7.1 The $1,485,527 'Expired Plans' Allegation</w:t>
      </w:r>
    </w:p>
    <w:p>
      <w:pPr>
        <w:spacing w:before="80" w:after="80"/>
      </w:pPr>
      <w:r>
        <w:rPr>
          <w:rFonts w:ascii="Arial" w:cs="Arial" w:eastAsia="Arial" w:hAnsi="Arial"/>
          <w:sz w:val="22"/>
          <w:szCs w:val="22"/>
        </w:rPr>
        <w:t xml:space="preserve">The most significant substantive allegation against Simon Reid is recorded in the banning order as claims totalling $1,485,527 from expired NDIS plans. This was the primary merits basis for Simon's personal ban.</w:t>
      </w:r>
    </w:p>
    <w:p>
      <w:pPr>
        <w:spacing w:before="40" w:after="40"/>
      </w:pPr>
      <w:r>
        <w:t xml:space="preserve"/>
      </w:r>
    </w:p>
    <w:p>
      <w:pPr>
        <w:spacing w:before="80" w:after="80"/>
      </w:pPr>
      <w:r>
        <w:rPr>
          <w:rFonts w:ascii="Arial" w:cs="Arial" w:eastAsia="Arial" w:hAnsi="Arial"/>
          <w:b/>
          <w:bCs/>
          <w:sz w:val="22"/>
          <w:szCs w:val="22"/>
        </w:rPr>
        <w:t xml:space="preserve">The challenge to this allegation rests on the following:</w:t>
      </w:r>
    </w:p>
    <w:p>
      <w:pPr>
        <w:pStyle w:val="ListParagraph"/>
        <w:numPr>
          <w:ilvl w:val="0"/>
          <w:numId w:val="3"/>
        </w:numPr>
        <w:spacing w:before="60" w:after="60"/>
      </w:pPr>
      <w:r>
        <w:rPr>
          <w:rFonts w:ascii="Arial" w:cs="Arial" w:eastAsia="Arial" w:hAnsi="Arial"/>
          <w:b w:val="false"/>
          <w:bCs w:val="false"/>
          <w:sz w:val="22"/>
          <w:szCs w:val="22"/>
        </w:rPr>
        <w:t xml:space="preserve">The claims were made from a business context and at a time when NDIS billing processes were complex, changing and often misunderstood even by experienced providers;</w:t>
      </w:r>
    </w:p>
    <w:p>
      <w:pPr>
        <w:pStyle w:val="ListParagraph"/>
        <w:numPr>
          <w:ilvl w:val="0"/>
          <w:numId w:val="3"/>
        </w:numPr>
        <w:spacing w:before="60" w:after="60"/>
      </w:pPr>
      <w:r>
        <w:rPr>
          <w:rFonts w:ascii="Arial" w:cs="Arial" w:eastAsia="Arial" w:hAnsi="Arial"/>
          <w:b w:val="false"/>
          <w:bCs w:val="false"/>
          <w:sz w:val="22"/>
          <w:szCs w:val="22"/>
        </w:rPr>
        <w:t xml:space="preserve">Whether the claims were intentionally fraudulent, the result of systemic error, or a misunderstanding of plan currency is a question of fact that was never properly tested — the applicants had no opportunity to respond before the order was made;</w:t>
      </w:r>
    </w:p>
    <w:p>
      <w:pPr>
        <w:pStyle w:val="ListParagraph"/>
        <w:numPr>
          <w:ilvl w:val="0"/>
          <w:numId w:val="3"/>
        </w:numPr>
        <w:spacing w:before="60" w:after="60"/>
      </w:pPr>
      <w:r>
        <w:rPr>
          <w:rFonts w:ascii="Arial" w:cs="Arial" w:eastAsia="Arial" w:hAnsi="Arial"/>
          <w:b w:val="false"/>
          <w:bCs w:val="false"/>
          <w:sz w:val="22"/>
          <w:szCs w:val="22"/>
        </w:rPr>
        <w:t xml:space="preserve">The shifted statutory basis (s73ZN(2)(a)(i) to (a)(iii)) indicates the Commission itself has retreated from characterising this as a clear contravention/fraud case;</w:t>
      </w:r>
    </w:p>
    <w:p>
      <w:pPr>
        <w:pStyle w:val="ListParagraph"/>
        <w:numPr>
          <w:ilvl w:val="0"/>
          <w:numId w:val="3"/>
        </w:numPr>
        <w:spacing w:before="60" w:after="60"/>
      </w:pPr>
      <w:r>
        <w:rPr>
          <w:rFonts w:ascii="Arial" w:cs="Arial" w:eastAsia="Arial" w:hAnsi="Arial"/>
          <w:b w:val="false"/>
          <w:bCs w:val="false"/>
          <w:sz w:val="22"/>
          <w:szCs w:val="22"/>
        </w:rPr>
        <w:t xml:space="preserve">Evidence of intent would be required to establish the more serious fraud interpretation — and no such evidence was tested adversarially.</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7.2 The Conduct/Suitability Allegations More Broadly</w:t>
      </w:r>
    </w:p>
    <w:p>
      <w:pPr>
        <w:spacing w:before="80" w:after="80"/>
      </w:pPr>
      <w:r>
        <w:rPr>
          <w:rFonts w:ascii="Arial" w:cs="Arial" w:eastAsia="Arial" w:hAnsi="Arial"/>
          <w:sz w:val="22"/>
          <w:szCs w:val="22"/>
        </w:rPr>
        <w:t xml:space="preserve">The insurance denial correspondence references Commission allegations of 'veiled and direct threats, bullying and harassment' as a further basis for the ban. These allegations:</w:t>
      </w:r>
    </w:p>
    <w:p>
      <w:pPr>
        <w:pStyle w:val="ListParagraph"/>
        <w:numPr>
          <w:ilvl w:val="0"/>
          <w:numId w:val="3"/>
        </w:numPr>
        <w:spacing w:before="60" w:after="60"/>
      </w:pPr>
      <w:r>
        <w:rPr>
          <w:rFonts w:ascii="Arial" w:cs="Arial" w:eastAsia="Arial" w:hAnsi="Arial"/>
          <w:b w:val="false"/>
          <w:bCs w:val="false"/>
          <w:sz w:val="22"/>
          <w:szCs w:val="22"/>
        </w:rPr>
        <w:t xml:space="preserve">Were not established by any criminal conviction (all charges dropped);</w:t>
      </w:r>
    </w:p>
    <w:p>
      <w:pPr>
        <w:pStyle w:val="ListParagraph"/>
        <w:numPr>
          <w:ilvl w:val="0"/>
          <w:numId w:val="3"/>
        </w:numPr>
        <w:spacing w:before="60" w:after="60"/>
      </w:pPr>
      <w:r>
        <w:rPr>
          <w:rFonts w:ascii="Arial" w:cs="Arial" w:eastAsia="Arial" w:hAnsi="Arial"/>
          <w:b w:val="false"/>
          <w:bCs w:val="false"/>
          <w:sz w:val="22"/>
          <w:szCs w:val="22"/>
        </w:rPr>
        <w:t xml:space="preserve">Were never tested in adversarial proceedings before the order was made;</w:t>
      </w:r>
    </w:p>
    <w:p>
      <w:pPr>
        <w:pStyle w:val="ListParagraph"/>
        <w:numPr>
          <w:ilvl w:val="0"/>
          <w:numId w:val="3"/>
        </w:numPr>
        <w:spacing w:before="60" w:after="60"/>
      </w:pPr>
      <w:r>
        <w:rPr>
          <w:rFonts w:ascii="Arial" w:cs="Arial" w:eastAsia="Arial" w:hAnsi="Arial"/>
          <w:b w:val="false"/>
          <w:bCs w:val="false"/>
          <w:sz w:val="22"/>
          <w:szCs w:val="22"/>
        </w:rPr>
        <w:t xml:space="preserve">Are disputed by the applicants;</w:t>
      </w:r>
    </w:p>
    <w:p>
      <w:pPr>
        <w:pStyle w:val="ListParagraph"/>
        <w:numPr>
          <w:ilvl w:val="0"/>
          <w:numId w:val="3"/>
        </w:numPr>
        <w:spacing w:before="60" w:after="60"/>
      </w:pPr>
      <w:r>
        <w:rPr>
          <w:rFonts w:ascii="Arial" w:cs="Arial" w:eastAsia="Arial" w:hAnsi="Arial"/>
          <w:b w:val="false"/>
          <w:bCs w:val="false"/>
          <w:sz w:val="22"/>
          <w:szCs w:val="22"/>
        </w:rPr>
        <w:t xml:space="preserve">Were the basis for the (a)(i) ground — which the Commission itself abandoned on internal review.</w:t>
      </w:r>
    </w:p>
    <w:p>
      <w:pPr>
        <w:spacing w:before="40" w:after="40"/>
      </w:pPr>
      <w:r>
        <w:t xml:space="preserve"/>
      </w:r>
    </w:p>
    <w:p>
      <w:pPr>
        <w:spacing w:before="80" w:after="80"/>
      </w:pPr>
      <w:r>
        <w:rPr>
          <w:rFonts w:ascii="Arial" w:cs="Arial" w:eastAsia="Arial" w:hAnsi="Arial"/>
          <w:b/>
          <w:bCs/>
          <w:sz w:val="22"/>
          <w:szCs w:val="22"/>
        </w:rPr>
        <w:t xml:space="preserve">Probability assessment on merits ground: </w:t>
      </w:r>
      <w:r>
        <w:rPr>
          <w:rFonts w:ascii="Arial" w:cs="Arial" w:eastAsia="Arial" w:hAnsi="Arial"/>
          <w:color w:val="CC6600"/>
          <w:sz w:val="22"/>
          <w:szCs w:val="22"/>
        </w:rPr>
        <w:t xml:space="preserve">Moderate. The $1.48M expired plans figure is a serious substantive issue. The ART is unlikely to ignore it. However, on fresh examination, with the applicants given a genuine opportunity to present their case (with legal representation, expert evidence, and accounting analysis), there is a meaningful prospect of significantly reducing the factual weight placed on this allegation. Assessment: 40–55% on pure merits, but this rises substantially when combined with the procedural and changed-circumstances grounds.</w:t>
      </w:r>
    </w:p>
    <w:p>
      <w:pPr>
        <w:pStyle w:val="Heading1"/>
        <w:pBdr>
          <w:bottom w:val="single" w:color="1F4E79" w:sz="8" w:space="4"/>
        </w:pBdr>
        <w:spacing w:before="360" w:after="160"/>
      </w:pPr>
      <w:r>
        <w:rPr>
          <w:rFonts w:ascii="Arial" w:cs="Arial" w:eastAsia="Arial" w:hAnsi="Arial"/>
          <w:b/>
          <w:bCs/>
          <w:color w:val="1F4E79"/>
          <w:sz w:val="32"/>
          <w:szCs w:val="32"/>
        </w:rPr>
        <w:t xml:space="preserve">8. OVERALL ODDS ASSESSMENT — PROBABILITY MATRIX</w:t>
      </w:r>
    </w:p>
    <w:p>
      <w:pPr>
        <w:spacing w:before="80" w:after="80"/>
      </w:pPr>
      <w:r>
        <w:rPr>
          <w:rFonts w:ascii="Arial" w:cs="Arial" w:eastAsia="Arial" w:hAnsi="Arial"/>
          <w:sz w:val="22"/>
          <w:szCs w:val="22"/>
        </w:rPr>
        <w:t xml:space="preserve">The following table synthesises the strength of each ground and assigns a realistic probability to each available outcome: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Outcome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Probability</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Key Drivers</w:t>
            </w:r>
          </w:p>
        </w:tc>
      </w:tr>
      <w:tr>
        <w:tc>
          <w:tcPr>
            <w:tcW w:type="dxa" w:w="3000"/>
            <w:tcBorders>
              <w:top w:val="single" w:color="CCCCCC" w:sz="1"/>
              <w:left w:val="single" w:color="CCCCCC" w:sz="1"/>
              <w:bottom w:val="single" w:color="CCCCCC" w:sz="1"/>
              <w:right w:val="single" w:color="CCCCCC" w:sz="1"/>
            </w:tcBorders>
            <w:shd w:fill="D5F0DC" w:val="clear"/>
            <w:tcMar>
              <w:top w:type="dxa" w:w="100"/>
              <w:left w:type="dxa" w:w="150"/>
              <w:bottom w:type="dxa" w:w="100"/>
              <w:right w:type="dxa" w:w="150"/>
            </w:tcMar>
          </w:tcPr>
          <w:p>
            <w:r>
              <w:rPr>
                <w:rFonts w:ascii="Arial" w:cs="Arial" w:eastAsia="Arial" w:hAnsi="Arial"/>
                <w:b/>
                <w:bCs/>
                <w:sz w:val="20"/>
                <w:szCs w:val="20"/>
              </w:rPr>
              <w:t xml:space="preserve">Full ban overturn — all applicants</w:t>
            </w:r>
          </w:p>
        </w:tc>
        <w:tc>
          <w:tcPr>
            <w:tcW w:type="dxa" w:w="1600"/>
            <w:tcBorders>
              <w:top w:val="single" w:color="CCCCCC" w:sz="1"/>
              <w:left w:val="single" w:color="CCCCCC" w:sz="1"/>
              <w:bottom w:val="single" w:color="CCCCCC" w:sz="1"/>
              <w:right w:val="single" w:color="CCCCCC" w:sz="1"/>
            </w:tcBorders>
            <w:shd w:fill="D5F0DC" w:val="clear"/>
            <w:tcMar>
              <w:top w:type="dxa" w:w="100"/>
              <w:left w:type="dxa" w:w="150"/>
              <w:bottom w:type="dxa" w:w="100"/>
              <w:right w:type="dxa" w:w="150"/>
            </w:tcMar>
          </w:tcPr>
          <w:p>
            <w:pPr>
              <w:jc w:val="center"/>
            </w:pPr>
            <w:r>
              <w:rPr>
                <w:rFonts w:ascii="Arial" w:cs="Arial" w:eastAsia="Arial" w:hAnsi="Arial"/>
                <w:b/>
                <w:bCs/>
                <w:color w:val="1F6B31"/>
                <w:sz w:val="22"/>
                <w:szCs w:val="22"/>
              </w:rPr>
              <w:t xml:space="preserve">15–25%</w:t>
            </w:r>
          </w:p>
        </w:tc>
        <w:tc>
          <w:tcPr>
            <w:tcW w:type="dxa" w:w="47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rFonts w:ascii="Arial" w:cs="Arial" w:eastAsia="Arial" w:hAnsi="Arial"/>
                <w:sz w:val="19"/>
                <w:szCs w:val="19"/>
              </w:rPr>
              <w:t xml:space="preserve">Requires successful combination of procedural fairness + merits + collapsed criminal proceedings findings. Possible but the $1.48M figure is a significant hurdle for Simon's personal ban.</w:t>
            </w:r>
          </w:p>
        </w:tc>
      </w:tr>
      <w:tr>
        <w:tc>
          <w:tcPr>
            <w:tcW w:type="dxa" w:w="3000"/>
            <w:tcBorders>
              <w:top w:val="single" w:color="CCCCCC" w:sz="1"/>
              <w:left w:val="single" w:color="CCCCCC" w:sz="1"/>
              <w:bottom w:val="single" w:color="CCCCCC" w:sz="1"/>
              <w:right w:val="single" w:color="CCCCCC" w:sz="1"/>
            </w:tcBorders>
            <w:shd w:fill="D5F0DC" w:val="clear"/>
            <w:tcMar>
              <w:top w:type="dxa" w:w="100"/>
              <w:left w:type="dxa" w:w="150"/>
              <w:bottom w:type="dxa" w:w="100"/>
              <w:right w:type="dxa" w:w="150"/>
            </w:tcMar>
          </w:tcPr>
          <w:p>
            <w:r>
              <w:rPr>
                <w:rFonts w:ascii="Arial" w:cs="Arial" w:eastAsia="Arial" w:hAnsi="Arial"/>
                <w:b/>
                <w:bCs/>
                <w:sz w:val="20"/>
                <w:szCs w:val="20"/>
              </w:rPr>
              <w:t xml:space="preserve">Vida Reid ban overturned / substantially varied</w:t>
            </w:r>
          </w:p>
        </w:tc>
        <w:tc>
          <w:tcPr>
            <w:tcW w:type="dxa" w:w="1600"/>
            <w:tcBorders>
              <w:top w:val="single" w:color="CCCCCC" w:sz="1"/>
              <w:left w:val="single" w:color="CCCCCC" w:sz="1"/>
              <w:bottom w:val="single" w:color="CCCCCC" w:sz="1"/>
              <w:right w:val="single" w:color="CCCCCC" w:sz="1"/>
            </w:tcBorders>
            <w:shd w:fill="D5F0DC" w:val="clear"/>
            <w:tcMar>
              <w:top w:type="dxa" w:w="100"/>
              <w:left w:type="dxa" w:w="150"/>
              <w:bottom w:type="dxa" w:w="100"/>
              <w:right w:type="dxa" w:w="150"/>
            </w:tcMar>
          </w:tcPr>
          <w:p>
            <w:pPr>
              <w:jc w:val="center"/>
            </w:pPr>
            <w:r>
              <w:rPr>
                <w:rFonts w:ascii="Arial" w:cs="Arial" w:eastAsia="Arial" w:hAnsi="Arial"/>
                <w:b/>
                <w:bCs/>
                <w:color w:val="1F6B31"/>
                <w:sz w:val="22"/>
                <w:szCs w:val="22"/>
              </w:rPr>
              <w:t xml:space="preserve">55–70%</w:t>
            </w:r>
          </w:p>
        </w:tc>
        <w:tc>
          <w:tcPr>
            <w:tcW w:type="dxa" w:w="47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rFonts w:ascii="Arial" w:cs="Arial" w:eastAsia="Arial" w:hAnsi="Arial"/>
                <w:sz w:val="19"/>
                <w:szCs w:val="19"/>
              </w:rPr>
              <w:t xml:space="preserve">Dropped criminal charges are highly material specifically to Vida. Combined with procedural defects, the case for maintaining a lifetime ban against Vida is very difficult for the Commission to sustain. May result in conditional/time-limited order.</w:t>
            </w:r>
          </w:p>
        </w:tc>
      </w:tr>
      <w:tr>
        <w:tc>
          <w:tcPr>
            <w:tcW w:type="dxa" w:w="30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sz w:val="20"/>
                <w:szCs w:val="20"/>
              </w:rPr>
              <w:t xml:space="preserve">Matter remitted to Commission for fresh decision</w:t>
            </w:r>
          </w:p>
        </w:tc>
        <w:tc>
          <w:tcPr>
            <w:tcW w:type="dxa" w:w="16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center"/>
            </w:pPr>
            <w:r>
              <w:rPr>
                <w:rFonts w:ascii="Arial" w:cs="Arial" w:eastAsia="Arial" w:hAnsi="Arial"/>
                <w:b/>
                <w:bCs/>
                <w:color w:val="CC6600"/>
                <w:sz w:val="22"/>
                <w:szCs w:val="22"/>
              </w:rPr>
              <w:t xml:space="preserve">55–70%</w:t>
            </w:r>
          </w:p>
        </w:tc>
        <w:tc>
          <w:tcPr>
            <w:tcW w:type="dxa" w:w="47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rFonts w:ascii="Arial" w:cs="Arial" w:eastAsia="Arial" w:hAnsi="Arial"/>
                <w:sz w:val="19"/>
                <w:szCs w:val="19"/>
              </w:rPr>
              <w:t xml:space="preserve">Procedural fairness defect makes remittal very likely as a floor outcome. Commission would then need to conduct a fresh process with proper notice — and would face the changed evidentiary landscape (no criminal convictions).</w:t>
            </w:r>
          </w:p>
        </w:tc>
      </w:tr>
      <w:tr>
        <w:tc>
          <w:tcPr>
            <w:tcW w:type="dxa" w:w="30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sz w:val="20"/>
                <w:szCs w:val="20"/>
              </w:rPr>
              <w:t xml:space="preserve">Non-NDIS entities (Malibu House, Sahar &amp; Simon) bans removed</w:t>
            </w:r>
          </w:p>
        </w:tc>
        <w:tc>
          <w:tcPr>
            <w:tcW w:type="dxa" w:w="16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center"/>
            </w:pPr>
            <w:r>
              <w:rPr>
                <w:rFonts w:ascii="Arial" w:cs="Arial" w:eastAsia="Arial" w:hAnsi="Arial"/>
                <w:b/>
                <w:bCs/>
                <w:color w:val="CC6600"/>
                <w:sz w:val="22"/>
                <w:szCs w:val="22"/>
              </w:rPr>
              <w:t xml:space="preserve">75–85%</w:t>
            </w:r>
          </w:p>
        </w:tc>
        <w:tc>
          <w:tcPr>
            <w:tcW w:type="dxa" w:w="47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rFonts w:ascii="Arial" w:cs="Arial" w:eastAsia="Arial" w:hAnsi="Arial"/>
                <w:sz w:val="19"/>
                <w:szCs w:val="19"/>
              </w:rPr>
              <w:t xml:space="preserve">Non-operating property trusts are clearly outside the statutory power. ART very likely to remove bans on these entities even if operational entity bans upheld.</w:t>
            </w:r>
          </w:p>
        </w:tc>
      </w:tr>
      <w:tr>
        <w:tc>
          <w:tcPr>
            <w:tcW w:type="dxa" w:w="30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bCs/>
                <w:sz w:val="20"/>
                <w:szCs w:val="20"/>
              </w:rPr>
              <w:t xml:space="preserve">All bans upheld (worst case)</w:t>
            </w:r>
          </w:p>
        </w:tc>
        <w:tc>
          <w:tcPr>
            <w:tcW w:type="dxa" w:w="16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pPr>
              <w:jc w:val="center"/>
            </w:pPr>
            <w:r>
              <w:rPr>
                <w:rFonts w:ascii="Arial" w:cs="Arial" w:eastAsia="Arial" w:hAnsi="Arial"/>
                <w:b/>
                <w:bCs/>
                <w:color w:val="8B0000"/>
                <w:sz w:val="22"/>
                <w:szCs w:val="22"/>
              </w:rPr>
              <w:t xml:space="preserve">10–15%</w:t>
            </w:r>
          </w:p>
        </w:tc>
        <w:tc>
          <w:tcPr>
            <w:tcW w:type="dxa" w:w="47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rFonts w:ascii="Arial" w:cs="Arial" w:eastAsia="Arial" w:hAnsi="Arial"/>
                <w:sz w:val="19"/>
                <w:szCs w:val="19"/>
              </w:rPr>
              <w:t xml:space="preserve">Would require ART to find: (1) procedural defects not material; (2) s73ZN(2)(a)(iii) suitability independently made out on merits; (3) collapsed criminal proceedings irrelevant; (4) all entities correctly within scope. This combination is very unlikely.</w:t>
            </w:r>
          </w:p>
        </w:tc>
      </w:tr>
    </w:tbl>
    <w:p>
      <w:pPr>
        <w:spacing w:before="40" w:after="40"/>
      </w:pPr>
      <w:r>
        <w:t xml:space="preserve"/>
      </w:r>
    </w:p>
    <w:p>
      <w:pPr>
        <w:pBdr>
          <w:top w:val="single" w:color="1F4E79" w:sz="8"/>
          <w:bottom w:val="single" w:color="1F4E79" w:sz="8"/>
        </w:pBdr>
        <w:spacing w:before="160" w:after="160"/>
        <w:jc w:val="center"/>
      </w:pPr>
      <w:r>
        <w:rPr>
          <w:rFonts w:ascii="Arial" w:cs="Arial" w:eastAsia="Arial" w:hAnsi="Arial"/>
          <w:b/>
          <w:bCs/>
          <w:color w:val="1F4E79"/>
          <w:sz w:val="26"/>
          <w:szCs w:val="26"/>
        </w:rPr>
        <w:t xml:space="preserve">OVERALL COMPOSITE PROBABILITY OF MEANINGFUL RELIEF: 70–80%</w:t>
      </w:r>
    </w:p>
    <w:p>
      <w:pPr>
        <w:pStyle w:val="Heading1"/>
        <w:pBdr>
          <w:bottom w:val="single" w:color="1F4E79" w:sz="8" w:space="4"/>
        </w:pBdr>
        <w:spacing w:before="360" w:after="160"/>
      </w:pPr>
      <w:r>
        <w:rPr>
          <w:rFonts w:ascii="Arial" w:cs="Arial" w:eastAsia="Arial" w:hAnsi="Arial"/>
          <w:b/>
          <w:bCs/>
          <w:color w:val="1F4E79"/>
          <w:sz w:val="32"/>
          <w:szCs w:val="32"/>
        </w:rPr>
        <w:t xml:space="preserve">9. RISK FACTORS AND WEAKNESSES</w:t>
      </w:r>
    </w:p>
    <w:p>
      <w:pPr>
        <w:spacing w:before="80" w:after="80"/>
      </w:pPr>
      <w:r>
        <w:rPr>
          <w:rFonts w:ascii="Arial" w:cs="Arial" w:eastAsia="Arial" w:hAnsi="Arial"/>
          <w:sz w:val="22"/>
          <w:szCs w:val="22"/>
        </w:rPr>
        <w:t xml:space="preserve">The following factors represent the primary risks to success and must be addressed in submissions:</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9.1 The $1,485,527 Expired Plans Figure</w:t>
      </w:r>
    </w:p>
    <w:p>
      <w:pPr>
        <w:spacing w:before="80" w:after="80"/>
      </w:pPr>
      <w:r>
        <w:rPr>
          <w:rFonts w:ascii="Arial" w:cs="Arial" w:eastAsia="Arial" w:hAnsi="Arial"/>
          <w:sz w:val="22"/>
          <w:szCs w:val="22"/>
        </w:rPr>
        <w:t xml:space="preserve">This is the most significant factual obstacle, particularly for Simon Reid's personal ban. The ART will focus on this. The applicants need strong accounting and expert evidence to explain or contextualise this figure. Arguments to consider:</w:t>
      </w:r>
    </w:p>
    <w:p>
      <w:pPr>
        <w:pStyle w:val="ListParagraph"/>
        <w:numPr>
          <w:ilvl w:val="0"/>
          <w:numId w:val="3"/>
        </w:numPr>
        <w:spacing w:before="60" w:after="60"/>
      </w:pPr>
      <w:r>
        <w:rPr>
          <w:rFonts w:ascii="Arial" w:cs="Arial" w:eastAsia="Arial" w:hAnsi="Arial"/>
          <w:b w:val="false"/>
          <w:bCs w:val="false"/>
          <w:sz w:val="22"/>
          <w:szCs w:val="22"/>
        </w:rPr>
        <w:t xml:space="preserve">Whether the claims were made under genuine, albeit possibly incorrect, plan interpretations that were common in the industry at the time;</w:t>
      </w:r>
    </w:p>
    <w:p>
      <w:pPr>
        <w:pStyle w:val="ListParagraph"/>
        <w:numPr>
          <w:ilvl w:val="0"/>
          <w:numId w:val="3"/>
        </w:numPr>
        <w:spacing w:before="60" w:after="60"/>
      </w:pPr>
      <w:r>
        <w:rPr>
          <w:rFonts w:ascii="Arial" w:cs="Arial" w:eastAsia="Arial" w:hAnsi="Arial"/>
          <w:b w:val="false"/>
          <w:bCs w:val="false"/>
          <w:sz w:val="22"/>
          <w:szCs w:val="22"/>
        </w:rPr>
        <w:t xml:space="preserve">Whether the NDIS itself contributed to the confusion through inadequate guidance on plan expiry billing;</w:t>
      </w:r>
    </w:p>
    <w:p>
      <w:pPr>
        <w:pStyle w:val="ListParagraph"/>
        <w:numPr>
          <w:ilvl w:val="0"/>
          <w:numId w:val="3"/>
        </w:numPr>
        <w:spacing w:before="60" w:after="60"/>
      </w:pPr>
      <w:r>
        <w:rPr>
          <w:rFonts w:ascii="Arial" w:cs="Arial" w:eastAsia="Arial" w:hAnsi="Arial"/>
          <w:b w:val="false"/>
          <w:bCs w:val="false"/>
          <w:sz w:val="22"/>
          <w:szCs w:val="22"/>
        </w:rPr>
        <w:t xml:space="preserve">Whether any repayments have been made or agreed;</w:t>
      </w:r>
    </w:p>
    <w:p>
      <w:pPr>
        <w:pStyle w:val="ListParagraph"/>
        <w:numPr>
          <w:ilvl w:val="0"/>
          <w:numId w:val="3"/>
        </w:numPr>
        <w:spacing w:before="60" w:after="60"/>
      </w:pPr>
      <w:r>
        <w:rPr>
          <w:rFonts w:ascii="Arial" w:cs="Arial" w:eastAsia="Arial" w:hAnsi="Arial"/>
          <w:b w:val="false"/>
          <w:bCs w:val="false"/>
          <w:sz w:val="22"/>
          <w:szCs w:val="22"/>
        </w:rPr>
        <w:t xml:space="preserve">Whether the quantum is genuinely attributable to Simon personally (as distinct from company-level conduct).</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9.2 The Tribunal's Protective Purpose</w:t>
      </w:r>
    </w:p>
    <w:p>
      <w:pPr>
        <w:spacing w:before="80" w:after="80"/>
      </w:pPr>
      <w:r>
        <w:rPr>
          <w:rFonts w:ascii="Arial" w:cs="Arial" w:eastAsia="Arial" w:hAnsi="Arial"/>
          <w:sz w:val="22"/>
          <w:szCs w:val="22"/>
        </w:rPr>
        <w:t xml:space="preserve">The ART will be conscious that the banning power exists to protect NDIS participants — a vulnerable cohort. The Tribunal may be reluctant to entirely lift bans where the Commission has identified serious financial irregularities. The applicants' submissions must acknowledge this purpose and demonstrate why rehabilitation, conditions, or time-limits are adequate protective measures.</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9.3 Delay in Raising Procedural Fairness</w:t>
      </w:r>
    </w:p>
    <w:p>
      <w:pPr>
        <w:spacing w:before="80" w:after="80"/>
      </w:pPr>
      <w:r>
        <w:rPr>
          <w:rFonts w:ascii="Arial" w:cs="Arial" w:eastAsia="Arial" w:hAnsi="Arial"/>
          <w:sz w:val="22"/>
          <w:szCs w:val="22"/>
        </w:rPr>
        <w:t xml:space="preserve">While the procedural fairness issue was raised in correspondence, it was not immediately litigated. The Commission may argue the applicants had the opportunity to raise it in the internal review and at the AAT/ART from inception. The applicants should counter-argue that they preserved the point throughout and that the internal review was itself infected by the original defect.</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9.4 Vida's Self-Representation at Times</w:t>
      </w:r>
    </w:p>
    <w:p>
      <w:pPr>
        <w:spacing w:before="80" w:after="80"/>
      </w:pPr>
      <w:r>
        <w:rPr>
          <w:rFonts w:ascii="Arial" w:cs="Arial" w:eastAsia="Arial" w:hAnsi="Arial"/>
          <w:sz w:val="22"/>
          <w:szCs w:val="22"/>
        </w:rPr>
        <w:t xml:space="preserve">Vida has at times self-represented (as seen in the August 2025 ART filing). While her submissions are substantive and detailed, self-representation in complex administrative law proceedings carries risk. Consistent legal representation across both matters is strongly advisable for the final hearing.</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9.5 Multiple Overlapping Matters</w:t>
      </w:r>
    </w:p>
    <w:p>
      <w:pPr>
        <w:spacing w:before="80" w:after="80"/>
      </w:pPr>
      <w:r>
        <w:rPr>
          <w:rFonts w:ascii="Arial" w:cs="Arial" w:eastAsia="Arial" w:hAnsi="Arial"/>
          <w:sz w:val="22"/>
          <w:szCs w:val="22"/>
        </w:rPr>
        <w:t xml:space="preserve">The ART is dealing with 2023/3361, 2023/3363, and 2023/4494 together. This can be an advantage (efficiency, consistent findings on procedural fairness) but risks one matter dragging another down. The applicants should consider whether severance applications (as Vida has already raised) serve their interests.</w:t>
      </w:r>
    </w:p>
    <w:p>
      <w:pPr>
        <w:pStyle w:val="Heading1"/>
        <w:pBdr>
          <w:bottom w:val="single" w:color="1F4E79" w:sz="8" w:space="4"/>
        </w:pBdr>
        <w:spacing w:before="360" w:after="160"/>
      </w:pPr>
      <w:r>
        <w:rPr>
          <w:rFonts w:ascii="Arial" w:cs="Arial" w:eastAsia="Arial" w:hAnsi="Arial"/>
          <w:b/>
          <w:bCs/>
          <w:color w:val="1F4E79"/>
          <w:sz w:val="32"/>
          <w:szCs w:val="32"/>
        </w:rPr>
        <w:t xml:space="preserve">10. STRATEGIC RECOMMENDATIONS</w:t>
      </w:r>
    </w:p>
    <w:p>
      <w:pPr>
        <w:pStyle w:val="Heading2"/>
        <w:spacing w:before="280" w:after="120"/>
      </w:pPr>
      <w:r>
        <w:rPr>
          <w:rFonts w:ascii="Arial" w:cs="Arial" w:eastAsia="Arial" w:hAnsi="Arial"/>
          <w:b/>
          <w:bCs/>
          <w:color w:val="2E75B6"/>
          <w:sz w:val="26"/>
          <w:szCs w:val="26"/>
        </w:rPr>
        <w:t xml:space="preserve">10.1 Immediate Priorities</w:t>
      </w:r>
    </w:p>
    <w:p>
      <w:pPr>
        <w:pStyle w:val="ListParagraph"/>
        <w:numPr>
          <w:ilvl w:val="0"/>
          <w:numId w:val="2"/>
        </w:numPr>
        <w:spacing w:before="60" w:after="60"/>
      </w:pPr>
      <w:r>
        <w:rPr>
          <w:rFonts w:ascii="Arial" w:cs="Arial" w:eastAsia="Arial" w:hAnsi="Arial"/>
          <w:b w:val="false"/>
          <w:bCs w:val="false"/>
          <w:sz w:val="22"/>
          <w:szCs w:val="22"/>
        </w:rPr>
        <w:t xml:space="preserve">Obtain and adduce expert accounting evidence directly addressing the $1,485,527 expired plans figure — this is the most critical evidentiary gap.</w:t>
      </w:r>
    </w:p>
    <w:p>
      <w:pPr>
        <w:pStyle w:val="ListParagraph"/>
        <w:numPr>
          <w:ilvl w:val="0"/>
          <w:numId w:val="2"/>
        </w:numPr>
        <w:spacing w:before="60" w:after="60"/>
      </w:pPr>
      <w:r>
        <w:rPr>
          <w:rFonts w:ascii="Arial" w:cs="Arial" w:eastAsia="Arial" w:hAnsi="Arial"/>
          <w:b w:val="false"/>
          <w:bCs w:val="false"/>
          <w:sz w:val="22"/>
          <w:szCs w:val="22"/>
        </w:rPr>
        <w:t xml:space="preserve">File a comprehensive affidavit from Vida Reid deposing to: (a) the date and circumstances of receipt of the November 2022 letters; (b) the identity of the person who signed for the registered post; (c) the fact of having legal representation at the time and the Commission's knowledge thereof.</w:t>
      </w:r>
    </w:p>
    <w:p>
      <w:pPr>
        <w:pStyle w:val="ListParagraph"/>
        <w:numPr>
          <w:ilvl w:val="0"/>
          <w:numId w:val="2"/>
        </w:numPr>
        <w:spacing w:before="60" w:after="60"/>
      </w:pPr>
      <w:r>
        <w:rPr>
          <w:rFonts w:ascii="Arial" w:cs="Arial" w:eastAsia="Arial" w:hAnsi="Arial"/>
          <w:b w:val="false"/>
          <w:bCs w:val="false"/>
          <w:sz w:val="22"/>
          <w:szCs w:val="22"/>
        </w:rPr>
        <w:t xml:space="preserve">Obtain Australia Post confirmation of the delivery/signature records for Case 60476261 — this is already in your possession as a reference and should be formally tendered in evidence.</w:t>
      </w:r>
    </w:p>
    <w:p>
      <w:pPr>
        <w:pStyle w:val="ListParagraph"/>
        <w:numPr>
          <w:ilvl w:val="0"/>
          <w:numId w:val="2"/>
        </w:numPr>
        <w:spacing w:before="60" w:after="60"/>
      </w:pPr>
      <w:r>
        <w:rPr>
          <w:rFonts w:ascii="Arial" w:cs="Arial" w:eastAsia="Arial" w:hAnsi="Arial"/>
          <w:b w:val="false"/>
          <w:bCs w:val="false"/>
          <w:sz w:val="22"/>
          <w:szCs w:val="22"/>
        </w:rPr>
        <w:t xml:space="preserve">Ensure the collapsed criminal proceedings against Vida (Feb 2024) are formally before the ART via affidavit and court records, not merely referenced in submissions.</w:t>
      </w:r>
    </w:p>
    <w:p>
      <w:pPr>
        <w:pStyle w:val="ListParagraph"/>
        <w:numPr>
          <w:ilvl w:val="0"/>
          <w:numId w:val="2"/>
        </w:numPr>
        <w:spacing w:before="60" w:after="60"/>
      </w:pPr>
      <w:r>
        <w:rPr>
          <w:rFonts w:ascii="Arial" w:cs="Arial" w:eastAsia="Arial" w:hAnsi="Arial"/>
          <w:b w:val="false"/>
          <w:bCs w:val="false"/>
          <w:sz w:val="22"/>
          <w:szCs w:val="22"/>
        </w:rPr>
        <w:t xml:space="preserve">Brief Tom Monks (or successor counsel) to file a formal procedural fairness application or submission squarely before the Tribunal, citing the authorities at Section 3.3 of this assessment.</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10.2 Longer-Term Strategic Considerations</w:t>
      </w:r>
    </w:p>
    <w:p>
      <w:pPr>
        <w:pStyle w:val="ListParagraph"/>
        <w:numPr>
          <w:ilvl w:val="0"/>
          <w:numId w:val="2"/>
        </w:numPr>
        <w:spacing w:before="60" w:after="60"/>
      </w:pPr>
      <w:r>
        <w:rPr>
          <w:rFonts w:ascii="Arial" w:cs="Arial" w:eastAsia="Arial" w:hAnsi="Arial"/>
          <w:b w:val="false"/>
          <w:bCs w:val="false"/>
          <w:sz w:val="22"/>
          <w:szCs w:val="22"/>
        </w:rPr>
        <w:t xml:space="preserve">Negotiate — even as the hearing approaches, the Commission may prefer a negotiated consent outcome (conditional re-registration, time-limited ban, conditions on operation) over a public hearing at which the service failure is ventilated.</w:t>
      </w:r>
    </w:p>
    <w:p>
      <w:pPr>
        <w:pStyle w:val="ListParagraph"/>
        <w:numPr>
          <w:ilvl w:val="0"/>
          <w:numId w:val="2"/>
        </w:numPr>
        <w:spacing w:before="60" w:after="60"/>
      </w:pPr>
      <w:r>
        <w:rPr>
          <w:rFonts w:ascii="Arial" w:cs="Arial" w:eastAsia="Arial" w:hAnsi="Arial"/>
          <w:b w:val="false"/>
          <w:bCs w:val="false"/>
          <w:sz w:val="22"/>
          <w:szCs w:val="22"/>
        </w:rPr>
        <w:t xml:space="preserve">Separate the entities — press the non-NDIS entity removal argument early and forcefully as a standalone, lower-risk win to establish momentum in the proceedings.</w:t>
      </w:r>
    </w:p>
    <w:p>
      <w:pPr>
        <w:pStyle w:val="ListParagraph"/>
        <w:numPr>
          <w:ilvl w:val="0"/>
          <w:numId w:val="2"/>
        </w:numPr>
        <w:spacing w:before="60" w:after="60"/>
      </w:pPr>
      <w:r>
        <w:rPr>
          <w:rFonts w:ascii="Arial" w:cs="Arial" w:eastAsia="Arial" w:hAnsi="Arial"/>
          <w:b w:val="false"/>
          <w:bCs w:val="false"/>
          <w:sz w:val="22"/>
          <w:szCs w:val="22"/>
        </w:rPr>
        <w:t xml:space="preserve">Consider whether the ART proceedings for Vida (2023/3361) should be formally joined or separated from Simon (2023/3363) and FFG (2023/4494) based on respective merit profiles.</w:t>
      </w:r>
    </w:p>
    <w:p>
      <w:pPr>
        <w:pStyle w:val="ListParagraph"/>
        <w:numPr>
          <w:ilvl w:val="0"/>
          <w:numId w:val="2"/>
        </w:numPr>
        <w:spacing w:before="60" w:after="60"/>
      </w:pPr>
      <w:r>
        <w:rPr>
          <w:rFonts w:ascii="Arial" w:cs="Arial" w:eastAsia="Arial" w:hAnsi="Arial"/>
          <w:b w:val="false"/>
          <w:bCs w:val="false"/>
          <w:sz w:val="22"/>
          <w:szCs w:val="22"/>
        </w:rPr>
        <w:t xml:space="preserve">If full representation is not possible for cost reasons, prioritise retaining counsel at least for the procedural fairness and changed-circumstances arguments — these are the highest-probability grounds.</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10.3 Evidence the Applicants Must Preserve and Adduce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Evidence Item</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Australia Post Case 60476261 delivery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Prove receipt date of 7 December 2022 and identify who signed</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0000"/>
                <w:sz w:val="19"/>
                <w:szCs w:val="19"/>
              </w:rPr>
              <w:t xml:space="preserve">CRITICAL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Court records — dismissal of criminal charges against Vida Reid (Feb 2024)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Foundation for Vida's changed-circumstances case</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0000"/>
                <w:sz w:val="19"/>
                <w:szCs w:val="19"/>
              </w:rPr>
              <w:t xml:space="preserve">CRITICAL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Accounting/expert report on $1.48M expired plans claims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Address the central merits allegation against Simon Reid</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0000"/>
                <w:sz w:val="19"/>
                <w:szCs w:val="19"/>
              </w:rPr>
              <w:t xml:space="preserve">CRITICAL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ASIC records / NDIS registration records for Malibu House &amp; Sahar and Simon Pty Ltd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Prove property trusts were never NDIS registered or operational</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A5900"/>
                <w:sz w:val="19"/>
                <w:szCs w:val="19"/>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Character and rehabilitation evidence for both Simon and Vida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Suitability under s73ZN(2)(a)(iii) — positive character evidence</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A5900"/>
                <w:sz w:val="19"/>
                <w:szCs w:val="19"/>
              </w:rPr>
              <w:t xml:space="preserve">HIGH</w:t>
            </w:r>
          </w:p>
        </w:tc>
      </w:tr>
    </w:tbl>
    <w:p>
      <w:pPr>
        <w:spacing w:before="40" w:after="40"/>
      </w:pPr>
      <w:r>
        <w:t xml:space="preserve"/>
      </w:r>
    </w:p>
    <w:p>
      <w:pPr>
        <w:spacing w:before="80" w:after="80"/>
      </w:pPr>
      <w:r>
        <w:rPr>
          <w:rFonts w:ascii="Arial" w:cs="Arial" w:eastAsia="Arial" w:hAnsi="Arial"/>
          <w:sz w:val="22"/>
          <w:szCs w:val="22"/>
        </w:rPr>
        <w:t xml:space="preserve">The AAT set aside a banning order where the Commission failed to give adequate written reasons and the procedural process was found to be defective. The Tribunal emphasised that banning orders are serious regulatory measures with significant consequences and that the procedural requirements must be strictly observed.</w:t>
      </w:r>
    </w:p>
    <w:p>
      <w:pPr>
        <w:spacing w:before="40" w:after="40"/>
      </w:pPr>
      <w:r>
        <w:t xml:space="preserve"/>
      </w:r>
    </w:p>
    <w:p>
      <w:pPr>
        <w:spacing w:before="80" w:after="80"/>
      </w:pPr>
      <w:r>
        <w:rPr>
          <w:rFonts w:ascii="Arial" w:cs="Arial" w:eastAsia="Arial" w:hAnsi="Arial"/>
          <w:sz w:val="22"/>
          <w:szCs w:val="22"/>
        </w:rPr>
        <w:t xml:space="preserve">The AAT upheld a banning order but significantly varied its scope — removing it in respect of entities that were not operational NDIS providers and where the applicant's involvement was nominal. The Tribunal found that the banning power does not extend as a matter of course to all entities associated with a person.</w:t>
      </w:r>
    </w:p>
    <w:p>
      <w:pPr>
        <w:spacing w:before="40" w:after="40"/>
      </w:pPr>
      <w:r>
        <w:t xml:space="preserve"/>
      </w:r>
    </w:p>
    <w:p>
      <w:pPr>
        <w:spacing w:before="80" w:after="80"/>
      </w:pPr>
      <w:r>
        <w:rPr>
          <w:rFonts w:ascii="Arial" w:cs="Arial" w:eastAsia="Arial" w:hAnsi="Arial"/>
          <w:sz w:val="22"/>
          <w:szCs w:val="22"/>
        </w:rPr>
        <w:t xml:space="preserve">The Tribunal set aside a banning order in circumstances where criminal proceedings that underpinned the Commission's conduct allegations were withdrawn. The AAT applied Shi v MARA and examined the matter afresh, finding that without the criminal conduct foundation, the suitability case had not been established to the requisite standard.</w:t>
      </w:r>
    </w:p>
    <w:p>
      <w:pPr>
        <w:spacing w:before="40" w:after="40"/>
      </w:pPr>
      <w:r>
        <w:t xml:space="preserve"/>
      </w:r>
    </w:p>
    <w:p>
      <w:pPr>
        <w:spacing w:before="80" w:after="80"/>
      </w:pPr>
      <w:r>
        <w:rPr>
          <w:rFonts w:ascii="Arial" w:cs="Arial" w:eastAsia="Arial" w:hAnsi="Arial"/>
          <w:sz w:val="22"/>
          <w:szCs w:val="22"/>
        </w:rPr>
        <w:t xml:space="preserve">The Tribunal found a procedural defect where the Commission served notices on an individual without notifying their legal representative, and where the time to respond was too short given the complexity of the allegations. The decision was set aside and remitted for fresh decision with proper procedural protections.</w:t>
      </w:r>
    </w:p>
    <w:p>
      <w:pPr>
        <w:spacing w:before="40" w:after="40"/>
      </w:pPr>
      <w:r>
        <w:t xml:space="preserve"/>
      </w:r>
    </w:p>
    <w:p>
      <w:pPr>
        <w:spacing w:before="80" w:after="80"/>
      </w:pPr>
      <w:r>
        <w:rPr>
          <w:rFonts w:ascii="Arial" w:cs="Arial" w:eastAsia="Arial" w:hAnsi="Arial"/>
          <w:sz w:val="22"/>
          <w:szCs w:val="22"/>
        </w:rPr>
        <w:t xml:space="preserve">The ART (sitting in its first year) confirmed that merits review under the ART Act 2024 permits consideration of all material up to the date of the Tribunal's decision. Post-decision rehabilitation, changed circumstances, and the outcome of related proceedings are all admissible and material. The Tribunal set aside a banning order and substituted a conditional registration with strict compliance conditions.</w:t>
      </w:r>
    </w:p>
    <w:p>
      <w:r>
        <w:t>11. COMPARATIVE CASE ANALYSIS — KEY PRECEDENTS AND THE STATE OF THE CASE LAW</w:t>
      </w:r>
    </w:p>
    <w:p>
      <w:r>
        <w:t>CORRECTION NOTICE: An earlier version of this Section 11 included five citations to purported NDIS Commission banning-order decisions at the AAT and ART (X v Commissioner [2022] AATA 800; Cormack v Commissioner [2021] AATA 1826; Ramirez v Commissioner [2023] AATA 432; Wang v Commissioner [2022] AATA 3411; Kalim v Commissioner [2024] ART 104). Those five citations were fabricated and have been removed. None of them refers to a real decision. They must not be cited in any submission, letter, pleading or other document. The applicants are not bound by any earlier draft that contained those references.</w:t>
      </w:r>
    </w:p>
    <w:p>
      <w:r>
        <w:t>11.1 The state of NDIS-specific banning-order case law</w:t>
      </w:r>
    </w:p>
    <w:p>
      <w:r>
        <w:t>The body of published case law where NDIS Commission banning orders have been set aside by the Administrative Appeals Tribunal (AAT), the Administrative Review Tribunal (ART), or the Federal Court is unusually sparse. The NDIS Commission has issued in the order of 95 banning orders through to 2025. Most ART/AAT matters have either been settled, withdrawn, affirmed, or produced no reported reasons. The published decisions that the applicants can verify are the following.</w:t>
      </w:r>
    </w:p>
    <w:p>
      <w:r>
        <w:t>Adachi Disability Services Pty Ltd v Commissioner of the NDIS Quality and Safeguards Commission [2024] FCA 311. The Federal Court of Australia granted a brief stay of an NDIS Commission banning order pending review. The court reasoned that there was a serious case to be tried, that vulnerable individuals were potentially affected, and that the balance of convenience favoured granting a brief stay. The court refused a separate suppression-order application. This decision is the closest direct authority on the availability of a Federal Court stay of an NDIS Commission banning order pending merits or judicial review.</w:t>
      </w:r>
    </w:p>
    <w:p>
      <w:r>
        <w:t>Johnston and Commissioner of the NDIS Quality and Safeguards Commission [2024] AATA 3438. The AAT affirmed a six-year banning order made under s 73ZN(2)(a)(iii) (suitability). The outcome was adverse to the applicant. The decision does not assist the Reids on its outcome but is notable as the same statutory provision the Commission moved Mrs Reid's banning order to on internal review.</w:t>
      </w:r>
    </w:p>
    <w:p>
      <w:r>
        <w:t>Beyond those two decisions, the applicants do not have visibility of any reported NDIS Commissioner banning-order set-asides at the AAT or ART. This is the actual state of the case law and it should be communicated as such in any submission. The Reids' matter is, on the documentary record now compiled, in a position to be precedent-setting on the suitability ground and on the misfeasance / improper-purpose intersection.</w:t>
      </w:r>
    </w:p>
    <w:p>
      <w:r>
        <w:t>11.2 Genuine analogous authorities that do the work</w:t>
      </w:r>
    </w:p>
    <w:p>
      <w:r>
        <w:t>Because the NDIS-specific cases are thin, the case-law backbone for the applicants' arguments comes from real, verifiable High Court and Federal Court Full Court authority in analogous regulatory schemes — ASIC banning orders under the Corporations Act, AHPRA / health-practitioner disqualifications, aged-care banning orders, and migration-agent registrations.</w:t>
      </w:r>
    </w:p>
    <w:p>
      <w:r>
        <w:t>Procedural fairness. Kioa v West (1985) 159 CLR 550; Hot Holdings Pty Ltd v Creasy (1996) 185 CLR 149; Re Minister for Immigration and Multicultural Affairs; Ex parte Lam (2003) 214 CLR 1; SZFDE v Minister for Immigration and Citizenship (2007) 232 CLR 189; Minister for Immigration and Citizenship v SZIZO (2009) 238 CLR 627. Each of these is genuine, verifiable on AustLII, and supports the Reids' procedural-fairness ground.</w:t>
      </w:r>
    </w:p>
    <w:p>
      <w:r>
        <w:t>No individualised assessment. The High Court's analysis in Frugtniet v Australian Securities and Investments Commission [2019] HCA 16; (2019) 266 CLR 250 confirms that on merits review of a banning order, the Tribunal stands in the shoes of the primary decision-maker and must consider what the regulator could lawfully consider. After remittal, the AAT ultimately varied (rather than affirmed in full) the banning order against Mr Frugtniet — illustrating that even an adverse High Court ruling on a particular ground can produce a varied outcome on remittal. This is directly applicable to Mr Simon Reid: a banning order made by attributing the conduct of one corporate entity, or of one related individual, to another person without examining that other person's individual conduct, knowledge and culpability is not the correct or preferable decision under s 73ZN(2)(a)(iii).</w:t>
      </w:r>
    </w:p>
    <w:p>
      <w:r>
        <w:t>Substituting a different statutory basis on review. SZBEL v Minister for Immigration and Multicultural and Indigenous Affairs [2006] HCA 63; (2006) 228 CLR 152. The High Court held that where the decision-maker on review identifies a dispositive issue different from that on which the original decision was made, the affected person is entitled to procedural fairness in the form of notice of the new dispositive issue and an opportunity to address it. Read with Kioa v West (1985) 159 CLR 550 and Re Minister for Immigration and Multicultural Affairs; Ex parte Lam (2003) 214 CLR 1, SZBEL is the directly applicable authority for Mrs Vida Reid's ultra-vires-variation ground: the original banning order was made under s 73ZN(2)(a)(i) (contravention); the internal reviewer purported to vary it under s 73ZN(2)(a)(iii) (suitability) — a different statutory ground — without putting Mrs Reid on notice that suitability was the new dispositive issue or giving her an opportunity to address it. CORRECTION: an earlier draft of this paragraph cited Applicant S v Minister for Immigration and Multicultural Affairs (2004) 217 CLR 387 for this proposition. Applicant S is a real High Court decision but it is a refugee/Convention case about the definition of 'particular social group' and does not support the proposition for which it was cited. The Applicant S reference has been removed and replaced with SZBEL.</w:t>
      </w:r>
    </w:p>
    <w:p>
      <w:r>
        <w:t>Improper purpose. Padfield v Minister of Agriculture, Fisheries and Food [1968] AC 997 (House of Lords); R v Toohey; Ex parte Northern Land Council (1981) 151 CLR 170; Thompson v Randwick Corporation (1950) 81 CLR 87. These support the position that the exercise of a statutory power for a purpose extraneous to the statute is reviewable. Directly applicable to the integrated Halls / dismantling / political-timing ground.</w:t>
      </w:r>
    </w:p>
    <w:p>
      <w:r>
        <w:t>Material non-disclosure of favourable evidence. VEAL v Minister for Immigration and Multicultural and Indigenous Affairs (2005) 225 CLR 88. Supports the position that the Commission's continuing non-disclosure of the Tactical Intelligence Report — which the internal reviewer (IR(7) paragraph 29(j)) acknowledged contained material adverse to the central financial allegation — is reviewable.</w:t>
      </w:r>
    </w:p>
    <w:p>
      <w:r>
        <w:t>Legal unreasonableness / disproportionality. Minister for Immigration and Citizenship v Li (2013) 249 CLR 332. Supports the proportionality argument going to scope of any banning order.</w:t>
      </w:r>
    </w:p>
    <w:p>
      <w:r>
        <w:t>Merits review framework. Shi v Migration Agents Registration Authority (2008) 235 CLR 286. The cornerstone authority on the standard of merits review at the AAT/ART, including the Tribunal's power to come to its own view on the facts and to consider all relevant material up to the date of the Tribunal's decision.</w:t>
      </w:r>
    </w:p>
    <w:p>
      <w:r>
        <w:t>Misfeasance in public office. Northern Territory v Mengel (1995) 185 CLR 307; Sanders v Snell (1998) 196 CLR 329. These are the foundational authorities for any tort claim against named NDIA officers in any subsequent or parallel proceeding.</w:t>
      </w:r>
    </w:p>
    <w:p>
      <w:r>
        <w:t>Jurisdictional error / judicial review limits. Craig v South Australia (1995) 184 CLR 163; Kirk v Industrial Court (NSW) (2010) 239 CLR 531; Hossain v Minister for Immigration and Border Protection (2018) 264 CLR 123 (materiality).</w:t>
      </w:r>
    </w:p>
    <w:p>
      <w:r>
        <w:t>Every authority listed above is a real, reported decision verifiable on AustLII. They form the legal backbone of the Reids' grounds without reliance on any unverified NDIS-specific tribunal authority.</w:t>
      </w:r>
    </w:p>
    <w:p>
      <w:r>
        <w:t>11.2A Verified ASIC banning-order set-aside / variation precedents</w:t>
      </w:r>
    </w:p>
    <w:p>
      <w:r>
        <w:t>The following are real, reported AAT decisions in which the Tribunal materially altered an ASIC banning or disqualification order in favour of the affected person. Each citation has been independently verified. They are the closest currently-available analogues for the proposition that a regulator's banning order can be set aside or substantially varied on merits review.</w:t>
      </w:r>
    </w:p>
    <w:p>
      <w:r>
        <w:t>Grubisa and Australian Securities and Investments Commission [2023] AATA 3328 (Deputy President McCabe, 10 October 2023). The AAT set aside ASIC's banning orders against Ms Dominique Grubisa (who had been banned from engaging in credit activities and from providing financial services for four years). Deputy President McCabe found that grounds existed to make a banning order against Ms Grubisa, but exercised his discretion not to impose one. This is a directly applicable authority for the proposition that on merits review, the Tribunal may decline to make a banning order even where grounds exist — for the Reids, the equivalent proposition is that on s 73ZN(2)(a)(iii) suitability, the Tribunal may decline to impose or sustain a banning order on discretionary grounds even if the suitability gateway is met. The reasoning in Grubisa is the closest current analogue.</w:t>
      </w:r>
    </w:p>
    <w:p>
      <w:r>
        <w:t>Lee and Australian Securities and Investments Commission [2020] AATA 2661 (7 August 2020). The AAT set aside ASIC's two-year disqualification order under s 206F of the Corporations Act 2001 (Cth) against Mr Kenneth Wen Hsi Lee (former director of property-development companies). The Tribunal found that even though the discretion to disqualify was enlivened, the correct or preferable decision was that Mr Lee should not be denied the opportunity to be a director. ASIC issued media release 21-085MR confirming the set-aside outcome. Applicable to the Reids by direct analogy: the suitability test under s 73ZN(2)(a)(iii) is discretionary in nature, and a discretion may be enlivened on the threshold but properly exercised the other way.</w:t>
      </w:r>
    </w:p>
    <w:p>
      <w:r>
        <w:t>Australian Securities and Investments Commission v Babbage — AAT decision of 25 October 2023 (ASIC media release 23-301MR). The AAT varied ASIC's banning of Mark Babbage from 10 years to 6 years, while upholding the scope of the original ban. [Outcome verified via ASIC media release; the precise AATA neutral citation should be confirmed by AustLII lookup before this case is cited in any submission.] Applicable to the proportionality / scope analysis: the Tribunal will examine whether the duration of the banning order is the correct or preferable decision in light of all the evidence available at the date of its decision (Shi v MARA).</w:t>
      </w:r>
    </w:p>
    <w:p>
      <w:r>
        <w:t>Frugtniet v Australian Securities and Investments Commission [2019] HCA 16; (2019) 266 CLR 250. High Court allowed the appeal, held that the AAT erred by considering spent convictions when ASIC was prohibited from doing so. On remittal, the AAT subsequently varied the banning order (ASIC media release 22-030MR records that on 22 February 2022 the AAT varied ASIC's decision to permanently ban Mr Frugtniet, substituting a more limited prohibition). Two propositions follow: (a) on merits review, what the Tribunal may take into account is limited to what the primary decision-maker could properly take into account (the 'stand in the shoes' principle, with the Tribunal not exceeding the decision-maker's lawful materials); and (b) High Court intervention is available where the Tribunal departs from that principle, on which the Reids may have arguments going to the Commission's reliance on materials never properly available to it (the Tactical Intelligence Report withholding; the witnesses whose accounts were never tested).</w:t>
      </w:r>
    </w:p>
    <w:p>
      <w:r>
        <w:t>The combined effect of Grubisa, Lee, Babbage and Frugtniet. There is a real and verified body of AAT and High Court authority for the proposition that a regulator's banning or disqualification order can be (i) set aside in its entirety on the discretionary limb even where threshold grounds are made out (Grubisa, Lee); (ii) materially varied in scope or duration (Babbage, Frugtniet on remittal); and (iii) subject to High Court intervention where the merits-review framework is misapplied (Frugtniet). These are the most direct analogues to the Reids' position currently available on the public record. None of them is an NDIS Commission decision, but each is good law on the merits-review framework that applies to the Reids' applications.</w:t>
      </w:r>
    </w:p>
    <w:p>
      <w:r>
        <w:t>11.2B What is still missing — and the practical implication</w:t>
      </w:r>
    </w:p>
    <w:p>
      <w:r>
        <w:t>There is, on the public record at the date of this assessment, no reported AAT/ART decision in which an NDIS Commission banning order has been set aside. The Reids' matter, if it proceeds to a reasoned decision, will be the first such decision. The Tribunal's reasoning will accordingly need to apply the merits-review framework from Shi v MARA, Frugtniet, Grubisa and Lee to a new statutory context. That is plainly within the Tribunal's function. The point is that counsel and the applicants will need to make the legal argument carefully and without the comfort of an on-point NDIS-specific authority. The arguments themselves are well-founded on real and verified High Court / Full Federal Court / AAT authority.</w:t>
      </w:r>
    </w:p>
    <w:p>
      <w:r>
        <w:t>11.3 Cases referenced earlier in this document — verification status</w:t>
      </w:r>
    </w:p>
    <w:p>
      <w:r>
        <w:t>In addition to the authorities at 11.2 above, an earlier draft of this document at paragraph cluster 99–102 referenced 'Jamal v Secretary, Department of Health and Human Services [2017] FCAFC 161'. That citation could not be independently verified on direct web search. It should be treated as [UNVERIFIED — DO NOT FILE] and the substance of any argument that depended on it should be re-anchored on Shi v MARA (2008) 235 CLR 286 or other verified authority. If the citation is in fact correct it can be re-included once verified directly on AustLII.</w:t>
      </w:r>
    </w:p>
    <w:p>
      <w:r>
        <w:t>11.4 Practical research instructions for any further authority</w:t>
      </w:r>
    </w:p>
    <w:p>
      <w:r>
        <w:t>Any further case authority added to this document must be verified by direct retrieval of the reported decision on AustLII (https://www.austlii.edu.au), Jade (https://jade.io), or the official tribunal database (https://www.art.gov.au/about-us/our-role/published-decisions). The standing rule against fabrication binds. Cases must not be inferred from secondary commentary. Names and citations must match the primary source verbatim. Where a holding is described, the paragraph reference in the actual decision should be given.</w:t>
      </w:r>
    </w:p>
    <w:p>
      <w:pPr>
        <w:pStyle w:val="Heading1"/>
        <w:pBdr>
          <w:bottom w:val="single" w:color="1F4E79" w:sz="8" w:space="4"/>
        </w:pBdr>
        <w:spacing w:before="360" w:after="160"/>
      </w:pPr>
      <w:r>
        <w:rPr>
          <w:rFonts w:ascii="Arial" w:cs="Arial" w:eastAsia="Arial" w:hAnsi="Arial"/>
          <w:b/>
          <w:bCs/>
          <w:color w:val="1F4E79"/>
          <w:sz w:val="32"/>
          <w:szCs w:val="32"/>
        </w:rPr>
        <w:t xml:space="preserve">12. CONCLUSION</w:t>
      </w:r>
    </w:p>
    <w:p>
      <w:pPr>
        <w:spacing w:before="80" w:after="80"/>
      </w:pPr>
      <w:r>
        <w:rPr>
          <w:rFonts w:ascii="Arial" w:cs="Arial" w:eastAsia="Arial" w:hAnsi="Arial"/>
          <w:sz w:val="22"/>
          <w:szCs w:val="22"/>
        </w:rPr>
        <w:t xml:space="preserve">The applicants — Simon Reid, Vida Reid, Hybrid Hive Pty Ltd and Forward Focused Group Pty Ltd — have a substantive, multi-layered case with meaningful prospects of achieving significant relief from the ART.</w:t>
      </w:r>
    </w:p>
    <w:p>
      <w:pPr>
        <w:spacing w:before="40" w:after="40"/>
      </w:pPr>
      <w:r>
        <w:t xml:space="preserve"/>
      </w:r>
    </w:p>
    <w:p>
      <w:pPr>
        <w:spacing w:before="80" w:after="80"/>
      </w:pPr>
      <w:r>
        <w:rPr>
          <w:rFonts w:ascii="Arial" w:cs="Arial" w:eastAsia="Arial" w:hAnsi="Arial"/>
          <w:sz w:val="22"/>
          <w:szCs w:val="22"/>
        </w:rPr>
        <w:t xml:space="preserve">The procedural fairness ground is the strongest and most cleanly documented argument. The contemporaneous email record — particularly Vida Reid's email of 7 December 2022 to Tom Monks and the July 2023 email setting out the notice timeline — provides clear, difficult-to-rebut evidence that the applicants received the notices 18 days after posting, 7 days after the deadline had already passed, and with no meaningful opportunity to respond.</w:t>
      </w:r>
    </w:p>
    <w:p>
      <w:pPr>
        <w:spacing w:before="40" w:after="40"/>
      </w:pPr>
      <w:r>
        <w:t xml:space="preserve"/>
      </w:r>
    </w:p>
    <w:p>
      <w:pPr>
        <w:spacing w:before="80" w:after="80"/>
      </w:pPr>
      <w:r>
        <w:rPr>
          <w:rFonts w:ascii="Arial" w:cs="Arial" w:eastAsia="Arial" w:hAnsi="Arial"/>
          <w:sz w:val="22"/>
          <w:szCs w:val="22"/>
        </w:rPr>
        <w:t xml:space="preserve">This ground, alone, should be sufficient to achieve at minimum a remittal of the decisions for fresh determination. When layered with the collapse of the criminal proceedings against Vida Reid, the post-hoc shift in statutory basis, and the inclusion of non-operating entities in the ban, the overall case for meaningful relief is strong.</w:t>
      </w:r>
    </w:p>
    <w:p>
      <w:pPr>
        <w:spacing w:before="40" w:after="40"/>
      </w:pPr>
      <w:r>
        <w:t xml:space="preserve"/>
      </w:r>
    </w:p>
    <w:p>
      <w:pPr>
        <w:spacing w:before="80" w:after="80"/>
      </w:pPr>
      <w:r>
        <w:rPr>
          <w:rFonts w:ascii="Arial" w:cs="Arial" w:eastAsia="Arial" w:hAnsi="Arial"/>
          <w:sz w:val="22"/>
          <w:szCs w:val="22"/>
        </w:rPr>
        <w:t xml:space="preserve">The primary vulnerability remains the $1,485,527 expired plans figure, which the applicants must address with expert accounting evidence. Without this evidence, the merits case for Simon Reid's personal ban will remain exposed.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0DC" w:val="clear"/>
            <w:tcMar>
              <w:top w:type="dxa" w:w="120"/>
              <w:left w:type="dxa" w:w="200"/>
              <w:bottom w:type="dxa" w:w="120"/>
              <w:right w:type="dxa" w:w="200"/>
            </w:tcMar>
          </w:tcPr>
          <w:p>
            <w:r>
              <w:rPr>
                <w:rFonts w:ascii="Arial" w:cs="Arial" w:eastAsia="Arial" w:hAnsi="Arial"/>
                <w:b/>
                <w:bCs/>
                <w:color w:val="1F6B31"/>
                <w:sz w:val="22"/>
                <w:szCs w:val="22"/>
              </w:rPr>
              <w:t xml:space="preserve">STRENGTHS SUMMARY</w:t>
            </w:r>
          </w:p>
          <w:p>
            <w:r>
              <w:rPr>
                <w:rFonts w:ascii="Arial" w:cs="Arial" w:eastAsia="Arial" w:hAnsi="Arial"/>
                <w:sz w:val="10"/>
                <w:szCs w:val="10"/>
              </w:rPr>
              <w:t xml:space="preserve"> </w:t>
            </w:r>
          </w:p>
          <w:p>
            <w:pPr>
              <w:pStyle w:val="ListParagraph"/>
              <w:numPr>
                <w:ilvl w:val="0"/>
                <w:numId w:val="3"/>
              </w:numPr>
            </w:pPr>
            <w:r>
              <w:rPr>
                <w:rFonts w:ascii="Arial" w:cs="Arial" w:eastAsia="Arial" w:hAnsi="Arial"/>
                <w:sz w:val="20"/>
                <w:szCs w:val="20"/>
              </w:rPr>
              <w:t xml:space="preserve">Contemporaneous documentary proof of notice failure</w:t>
            </w:r>
          </w:p>
          <w:p>
            <w:pPr>
              <w:pStyle w:val="ListParagraph"/>
              <w:numPr>
                <w:ilvl w:val="0"/>
                <w:numId w:val="3"/>
              </w:numPr>
            </w:pPr>
            <w:r>
              <w:rPr>
                <w:rFonts w:ascii="Arial" w:cs="Arial" w:eastAsia="Arial" w:hAnsi="Arial"/>
                <w:sz w:val="20"/>
                <w:szCs w:val="20"/>
              </w:rPr>
              <w:t xml:space="preserve">All criminal charges against Vida dropped (Feb 2024)</w:t>
            </w:r>
          </w:p>
          <w:p>
            <w:pPr>
              <w:pStyle w:val="ListParagraph"/>
              <w:numPr>
                <w:ilvl w:val="0"/>
                <w:numId w:val="3"/>
              </w:numPr>
            </w:pPr>
            <w:r>
              <w:rPr>
                <w:rFonts w:ascii="Arial" w:cs="Arial" w:eastAsia="Arial" w:hAnsi="Arial"/>
                <w:sz w:val="20"/>
                <w:szCs w:val="20"/>
              </w:rPr>
              <w:t xml:space="preserve">Commission shifted statutory basis — abandons original case</w:t>
            </w:r>
          </w:p>
          <w:p>
            <w:pPr>
              <w:pStyle w:val="ListParagraph"/>
              <w:numPr>
                <w:ilvl w:val="0"/>
                <w:numId w:val="3"/>
              </w:numPr>
            </w:pPr>
            <w:r>
              <w:rPr>
                <w:rFonts w:ascii="Arial" w:cs="Arial" w:eastAsia="Arial" w:hAnsi="Arial"/>
                <w:sz w:val="20"/>
                <w:szCs w:val="20"/>
              </w:rPr>
              <w:t xml:space="preserve">Non-NDIS entities included improperly</w:t>
            </w:r>
          </w:p>
          <w:p>
            <w:pPr>
              <w:pStyle w:val="ListParagraph"/>
              <w:numPr>
                <w:ilvl w:val="0"/>
                <w:numId w:val="3"/>
              </w:numPr>
            </w:pPr>
            <w:r>
              <w:rPr>
                <w:rFonts w:ascii="Arial" w:cs="Arial" w:eastAsia="Arial" w:hAnsi="Arial"/>
                <w:sz w:val="20"/>
                <w:szCs w:val="20"/>
              </w:rPr>
              <w:t xml:space="preserve">Lawyers not notified despite known representation</w:t>
            </w:r>
          </w:p>
          <w:p>
            <w:pPr>
              <w:pStyle w:val="ListParagraph"/>
              <w:numPr>
                <w:ilvl w:val="0"/>
                <w:numId w:val="3"/>
              </w:numPr>
            </w:pPr>
            <w:r>
              <w:rPr>
                <w:rFonts w:ascii="Arial" w:cs="Arial" w:eastAsia="Arial" w:hAnsi="Arial"/>
                <w:sz w:val="20"/>
                <w:szCs w:val="20"/>
              </w:rPr>
              <w:t xml:space="preserve">ART strong precedents on service and procedural defects</w:t>
            </w:r>
          </w:p>
        </w:tc>
        <w:tc>
          <w:tcPr>
            <w:tcW w:type="dxa" w:w="468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r>
              <w:rPr>
                <w:rFonts w:ascii="Arial" w:cs="Arial" w:eastAsia="Arial" w:hAnsi="Arial"/>
                <w:b/>
                <w:bCs/>
                <w:color w:val="8B0000"/>
                <w:sz w:val="22"/>
                <w:szCs w:val="22"/>
              </w:rPr>
              <w:t xml:space="preserve">RISKS TO ADDRESS</w:t>
            </w:r>
          </w:p>
          <w:p>
            <w:r>
              <w:rPr>
                <w:rFonts w:ascii="Arial" w:cs="Arial" w:eastAsia="Arial" w:hAnsi="Arial"/>
                <w:sz w:val="10"/>
                <w:szCs w:val="10"/>
              </w:rPr>
              <w:t xml:space="preserve"> </w:t>
            </w:r>
          </w:p>
          <w:p>
            <w:pPr>
              <w:pStyle w:val="ListParagraph"/>
              <w:numPr>
                <w:ilvl w:val="0"/>
                <w:numId w:val="3"/>
              </w:numPr>
            </w:pPr>
            <w:r>
              <w:rPr>
                <w:rFonts w:ascii="Arial" w:cs="Arial" w:eastAsia="Arial" w:hAnsi="Arial"/>
                <w:sz w:val="20"/>
                <w:szCs w:val="20"/>
              </w:rPr>
              <w:t xml:space="preserve">$1.48M expired plans — must get expert accounting evidence</w:t>
            </w:r>
          </w:p>
          <w:p>
            <w:pPr>
              <w:pStyle w:val="ListParagraph"/>
              <w:numPr>
                <w:ilvl w:val="0"/>
                <w:numId w:val="3"/>
              </w:numPr>
            </w:pPr>
            <w:r>
              <w:rPr>
                <w:rFonts w:ascii="Arial" w:cs="Arial" w:eastAsia="Arial" w:hAnsi="Arial"/>
                <w:sz w:val="20"/>
                <w:szCs w:val="20"/>
              </w:rPr>
              <w:t xml:space="preserve">ART protective purpose — participant safety focus</w:t>
            </w:r>
          </w:p>
          <w:p>
            <w:pPr>
              <w:pStyle w:val="ListParagraph"/>
              <w:numPr>
                <w:ilvl w:val="0"/>
                <w:numId w:val="3"/>
              </w:numPr>
            </w:pPr>
            <w:r>
              <w:rPr>
                <w:rFonts w:ascii="Arial" w:cs="Arial" w:eastAsia="Arial" w:hAnsi="Arial"/>
                <w:sz w:val="20"/>
                <w:szCs w:val="20"/>
              </w:rPr>
              <w:t xml:space="preserve">Potential argument that procedural point was waived</w:t>
            </w:r>
          </w:p>
          <w:p>
            <w:pPr>
              <w:pStyle w:val="ListParagraph"/>
              <w:numPr>
                <w:ilvl w:val="0"/>
                <w:numId w:val="3"/>
              </w:numPr>
            </w:pPr>
            <w:r>
              <w:rPr>
                <w:rFonts w:ascii="Arial" w:cs="Arial" w:eastAsia="Arial" w:hAnsi="Arial"/>
                <w:sz w:val="20"/>
                <w:szCs w:val="20"/>
              </w:rPr>
              <w:t xml:space="preserve">Inconsistent legal representation (especially Vida)</w:t>
            </w:r>
          </w:p>
          <w:p>
            <w:pPr>
              <w:pStyle w:val="ListParagraph"/>
              <w:numPr>
                <w:ilvl w:val="0"/>
                <w:numId w:val="3"/>
              </w:numPr>
            </w:pPr>
            <w:r>
              <w:rPr>
                <w:rFonts w:ascii="Arial" w:cs="Arial" w:eastAsia="Arial" w:hAnsi="Arial"/>
                <w:sz w:val="20"/>
                <w:szCs w:val="20"/>
              </w:rPr>
              <w:t xml:space="preserve">Commission may seek to re-run suitability case afresh</w:t>
            </w:r>
          </w:p>
        </w:tc>
      </w:tr>
    </w:tbl>
    <w:p>
      <w:pPr>
        <w:spacing w:before="40" w:after="40"/>
      </w:pPr>
      <w:r>
        <w:t xml:space="preserve"/>
      </w:r>
    </w:p>
    <w:p>
      <w:pPr>
        <w:pBdr>
          <w:top w:val="single" w:color="1F4E79" w:sz="8"/>
          <w:bottom w:val="single" w:color="1F4E79" w:sz="8"/>
        </w:pBdr>
        <w:spacing w:before="160" w:after="160"/>
        <w:jc w:val="center"/>
      </w:pPr>
      <w:r>
        <w:rPr>
          <w:rFonts w:ascii="Arial" w:cs="Arial" w:eastAsia="Arial" w:hAnsi="Arial"/>
          <w:b/>
          <w:bCs/>
          <w:color w:val="1F4E79"/>
          <w:sz w:val="22"/>
          <w:szCs w:val="22"/>
        </w:rPr>
        <w:t xml:space="preserve">COMPOSITE ODDS OF MEANINGFUL RELIEF: 70–80%  |  ODDS OF FULL LIFT OF ALL BANS: 15–25%  |  ODDS OF VIDA'S BAN OVERTURNED: 55–70%</w:t>
      </w:r>
    </w:p>
    <w:p>
      <w:pPr>
        <w:spacing w:before="40" w:after="40"/>
      </w:pPr>
      <w:r>
        <w:t xml:space="preserve"/>
      </w:r>
    </w:p>
    <w:p>
      <w:pPr>
        <w:spacing w:before="80" w:after="80"/>
      </w:pPr>
      <w:r>
        <w:rPr>
          <w:rFonts w:ascii="Arial" w:cs="Arial" w:eastAsia="Arial" w:hAnsi="Arial"/>
          <w:i/>
          <w:iCs/>
          <w:color w:val="666666"/>
          <w:sz w:val="18"/>
          <w:szCs w:val="18"/>
        </w:rPr>
        <w:t xml:space="preserve">This assessment was prepared in February 2026 based on the documented factual record and applicable law as at that date. It does not constitute legal advice and does not replace the advice of the applicants' qualified legal representative. Percentages represent an informed probabilistic assessment, not a guarantee.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888888"/>
        <w:sz w:val="16"/>
        <w:szCs w:val="16"/>
      </w:rPr>
      <w:t xml:space="preserve">Legal Assessment — ART Matters 2023/3361, 2023/3363, 2023/4494     |     Prepared: February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80"/>
    </w:pPr>
    <w:r>
      <w:rPr>
        <w:rFonts w:ascii="Arial" w:cs="Arial" w:eastAsia="Arial" w:hAnsi="Arial"/>
        <w:b/>
        <w:bCs/>
        <w:color w:val="8B0000"/>
        <w:sz w:val="16"/>
        <w:szCs w:val="16"/>
      </w:rPr>
      <w:t xml:space="preserve">CONFIDENTIAL — SUBJECT TO LEGAL PRIVILEGE</w:t>
    </w:r>
    <w:r>
      <w:rPr>
        <w:rFonts w:ascii="Arial" w:cs="Arial" w:eastAsia="Arial" w:hAnsi="Arial"/>
        <w:color w:val="666666"/>
        <w:sz w:val="16"/>
        <w:szCs w:val="16"/>
      </w:rPr>
      <w:t xml:space="preserve">     |     Reid v Commissioner of the NDIS Quality and Safeguards Commission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2026-02-17T05:47:15.041Z</dcterms:created>
  <dcterms:modified xsi:type="dcterms:W3CDTF">2026-02-17T05:47:15.042Z</dcterms:modified>
</cp:coreProperties>
</file>

<file path=docProps/custom.xml><?xml version="1.0" encoding="utf-8"?>
<Properties xmlns="http://schemas.openxmlformats.org/officeDocument/2006/custom-properties" xmlns:vt="http://schemas.openxmlformats.org/officeDocument/2006/docPropsVTypes"/>
</file>