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557"/>
          <w:sz w:val="34"/>
          <w:szCs w:val="34"/>
        </w:rPr>
        <w:t xml:space="preserve">REQUEST FOR FIXED-FEE PROPOSAL</w:t>
      </w:r>
    </w:p>
    <w:p>
      <w:pPr>
        <w:spacing w:after="60" w:line="276"/>
      </w:pPr>
      <w:r>
        <w:rPr>
          <w:rFonts w:ascii="Calibri" w:cs="Calibri" w:eastAsia="Calibri" w:hAnsi="Calibri"/>
          <w:i/>
          <w:iCs/>
          <w:color w:val="595959"/>
          <w:sz w:val="22"/>
          <w:szCs w:val="22"/>
        </w:rPr>
        <w:t xml:space="preserve">Proposed Federal Court judicial review (s 39B Judiciary Act 1903) — settle and lodge a prepared filing suite</w:t>
      </w:r>
    </w:p>
    <w:p>
      <w:pPr>
        <w:spacing w:after="120" w:line="276"/>
      </w:pPr>
      <w:r>
        <w:rPr>
          <w:rFonts w:ascii="Calibri" w:cs="Calibri" w:eastAsia="Calibri" w:hAnsi="Calibri"/>
          <w:i/>
          <w:iCs/>
          <w:color w:val="595959"/>
          <w:sz w:val="22"/>
          <w:szCs w:val="22"/>
        </w:rPr>
        <w:t xml:space="preserve">Prepared 27 July 2026 · Simon Reid · Part A is the covering email; Part B is the schedule to attach to it.</w:t>
      </w:r>
    </w:p>
    <w:p>
      <w:pPr>
        <w:pBdr>
          <w:bottom w:val="single" w:color="BFBFBF" w:sz="6"/>
        </w:pBdr>
        <w:spacing w:after="200" w:before="60"/>
      </w:pPr>
    </w:p>
    <w:p>
      <w:pPr>
        <w:pStyle w:val="Heading1"/>
        <w:spacing w:after="180" w:before="320"/>
      </w:pPr>
      <w:r>
        <w:rPr>
          <w:rFonts w:ascii="Calibri" w:cs="Calibri" w:eastAsia="Calibri" w:hAnsi="Calibri"/>
          <w:b/>
          <w:bCs/>
          <w:color w:val="1F3557"/>
          <w:sz w:val="30"/>
          <w:szCs w:val="30"/>
        </w:rPr>
        <w:t xml:space="preserve">PART A — Covering email (paste into your email client)</w:t>
      </w:r>
    </w:p>
    <w:p>
      <w:pPr>
        <w:spacing w:after="160" w:line="276"/>
      </w:pPr>
      <w:r>
        <w:rPr>
          <w:rFonts w:ascii="Calibri" w:cs="Calibri" w:eastAsia="Calibri" w:hAnsi="Calibri"/>
          <w:b/>
          <w:bCs/>
          <w:color w:val="000000"/>
          <w:sz w:val="22"/>
          <w:szCs w:val="22"/>
        </w:rPr>
        <w:t xml:space="preserve">Subject: </w:t>
      </w:r>
      <w:r>
        <w:rPr>
          <w:rFonts w:ascii="Calibri" w:cs="Calibri" w:eastAsia="Calibri" w:hAnsi="Calibri"/>
          <w:color w:val="000000"/>
          <w:sz w:val="22"/>
          <w:szCs w:val="22"/>
        </w:rPr>
        <w:t xml:space="preserve">Request for fixed-fee proposal — limited-scope engagement — Federal Court judicial review (s 39B) — prepared filing suite</w:t>
      </w:r>
    </w:p>
    <w:p>
      <w:pPr>
        <w:spacing w:after="160" w:line="276"/>
      </w:pPr>
      <w:r>
        <w:rPr>
          <w:rFonts w:ascii="Calibri" w:cs="Calibri" w:eastAsia="Calibri" w:hAnsi="Calibri"/>
          <w:color w:val="000000"/>
          <w:sz w:val="22"/>
          <w:szCs w:val="22"/>
        </w:rPr>
        <w:t xml:space="preserve">Dear [name],</w:t>
      </w:r>
    </w:p>
    <w:p>
      <w:pPr>
        <w:spacing w:after="160" w:line="276"/>
      </w:pPr>
      <w:r>
        <w:rPr>
          <w:rFonts w:ascii="Calibri" w:cs="Calibri" w:eastAsia="Calibri" w:hAnsi="Calibri"/>
          <w:color w:val="000000"/>
          <w:sz w:val="22"/>
          <w:szCs w:val="22"/>
        </w:rPr>
        <w:t xml:space="preserve">I am seeking a fixed-fee proposal for a limited-scope engagement in a proposed Federal Court judicial review. I have set the scope out precisely because I want a binding fixed price per stage under the costs agreement, not an hourly estimate. The attached schedule contains the stage definitions, the assumptions your quote may rely on, and the quote format requested.</w:t>
      </w:r>
    </w:p>
    <w:p>
      <w:pPr>
        <w:spacing w:after="160" w:line="276"/>
      </w:pPr>
      <w:r>
        <w:rPr>
          <w:rFonts w:ascii="Calibri" w:cs="Calibri" w:eastAsia="Calibri" w:hAnsi="Calibri"/>
          <w:b/>
          <w:bCs/>
          <w:color w:val="000000"/>
          <w:sz w:val="22"/>
          <w:szCs w:val="22"/>
        </w:rPr>
        <w:t xml:space="preserve">The matter in brief. </w:t>
      </w:r>
      <w:r>
        <w:rPr>
          <w:rFonts w:ascii="Calibri" w:cs="Calibri" w:eastAsia="Calibri" w:hAnsi="Calibri"/>
          <w:color w:val="000000"/>
          <w:sz w:val="22"/>
          <w:szCs w:val="22"/>
        </w:rPr>
        <w:t xml:space="preserve">My wife and I are subject to NDIS banning orders made in December 2022 and varied in April 2023. The varied orders prohibit “any involvement with or in the NDIS sector, in any capacity”, extending to indirect conduct and assistance of any form. In Sunflower Care Services Pty Ltd v Commissioner of the NDIS Quality and Safeguards Commission (No 2) [2025] FCA 1442 the Federal Court (WA Registry) quashed a banning order using relevantly identical wording as beyond the power in s 73ZN(2) of the NDIS Act and void for uncertainty; a costs decision followed ([2026] FCA 261) and we have located no appeal. The proposed proceeding is an application under s 39B of the Judiciary Act 1903 in the WA Registry to quash the operative orders. Applicants: Simon Reid and Vida Reid. Respondent: Commissioner of the NDIS Quality and Safeguards Commission. Related merits proceedings are on foot in the ART; the interaction is understood and addressed in the prepared materials.</w:t>
      </w:r>
    </w:p>
    <w:p>
      <w:pPr>
        <w:spacing w:after="160" w:line="276"/>
      </w:pPr>
      <w:r>
        <w:rPr>
          <w:rFonts w:ascii="Calibri" w:cs="Calibri" w:eastAsia="Calibri" w:hAnsi="Calibri"/>
          <w:b/>
          <w:bCs/>
          <w:color w:val="000000"/>
          <w:sz w:val="22"/>
          <w:szCs w:val="22"/>
        </w:rPr>
        <w:t xml:space="preserve">The key point on scope. </w:t>
      </w:r>
      <w:r>
        <w:rPr>
          <w:rFonts w:ascii="Calibri" w:cs="Calibri" w:eastAsia="Calibri" w:hAnsi="Calibri"/>
          <w:color w:val="000000"/>
          <w:sz w:val="22"/>
          <w:szCs w:val="22"/>
        </w:rPr>
        <w:t xml:space="preserve">The filing suite is already drafted: originating application (Form 69), statement of claim, outline of submissions, supporting affidavits, court book and authorities index, genuine steps statement and pre-action letter, with the eLodgment pathway, categorisation and filing fee verified. The engagement I am seeking is to review, settle, lodge and serve — not to re-originate the work. I will provide the full suite on conflict clearance.</w:t>
      </w:r>
    </w:p>
    <w:p>
      <w:pPr>
        <w:spacing w:after="160" w:line="276"/>
      </w:pPr>
      <w:r>
        <w:rPr>
          <w:rFonts w:ascii="Calibri" w:cs="Calibri" w:eastAsia="Calibri" w:hAnsi="Calibri"/>
          <w:b/>
          <w:bCs/>
          <w:color w:val="000000"/>
          <w:sz w:val="22"/>
          <w:szCs w:val="22"/>
        </w:rPr>
        <w:t xml:space="preserve">What I ask you to quote </w:t>
      </w:r>
      <w:r>
        <w:rPr>
          <w:rFonts w:ascii="Calibri" w:cs="Calibri" w:eastAsia="Calibri" w:hAnsi="Calibri"/>
          <w:color w:val="000000"/>
          <w:sz w:val="22"/>
          <w:szCs w:val="22"/>
        </w:rPr>
        <w:t xml:space="preserve">(per the attached schedule): Stage 0 — conflict check and one scoping conference; Stage 1 — fixed-fee review of the suite and short written advice (prospects, any fatal defects, pre-action letter versus file-first, go/no-go); Stage 2 — fixed-fee settle, lodge and serve; Stage 3 — fixed-fee first case management hearing; Stage 4 — any respondent interlocutory application: an indicative capped range now, and a binding fixed quote within five business days of any such application being served.</w:t>
      </w:r>
    </w:p>
    <w:p>
      <w:pPr>
        <w:spacing w:after="160" w:line="276"/>
      </w:pPr>
      <w:r>
        <w:rPr>
          <w:rFonts w:ascii="Calibri" w:cs="Calibri" w:eastAsia="Calibri" w:hAnsi="Calibri"/>
          <w:color w:val="000000"/>
          <w:sz w:val="22"/>
          <w:szCs w:val="22"/>
        </w:rPr>
        <w:t xml:space="preserve">Please also state: </w:t>
      </w:r>
      <w:r>
        <w:rPr>
          <w:rFonts w:ascii="Calibri" w:cs="Calibri" w:eastAsia="Calibri" w:hAnsi="Calibri"/>
          <w:color w:val="000000"/>
          <w:sz w:val="22"/>
          <w:szCs w:val="22"/>
        </w:rPr>
        <w:t xml:space="preserve">whether each figure is a binding fixed fee or an estimate; proposed counsel, with counsel’s brief fees shown separately and passed through at cost; who will do the day-to-day work; which of the two engagement models in the schedule you offer (acting on the record from filing, or documents-and-advice with the applicants remaining self-represented); and whether any Commonwealth legal services panel appointment or retainer for the NDIS Commission, the NDIA or AGS-instructed matters would prevent you acting adversely to the Commissioner.</w:t>
      </w:r>
    </w:p>
    <w:p>
      <w:pPr>
        <w:spacing w:after="160" w:line="276"/>
      </w:pPr>
      <w:r>
        <w:rPr>
          <w:rFonts w:ascii="Calibri" w:cs="Calibri" w:eastAsia="Calibri" w:hAnsi="Calibri"/>
          <w:color w:val="000000"/>
          <w:sz w:val="22"/>
          <w:szCs w:val="22"/>
        </w:rPr>
        <w:t xml:space="preserve">If the structure is workable, I would appreciate a response by [date — suggest 7 days]. I am available for a 30-minute call beforehand. I appreciate not every firm prices this way; if fixed pricing is not something you offer for this kind of work, a short “no” saves us both time.</w:t>
      </w:r>
    </w:p>
    <w:p>
      <w:pPr>
        <w:spacing w:after="160" w:line="276"/>
      </w:pPr>
      <w:r>
        <w:rPr>
          <w:rFonts w:ascii="Calibri" w:cs="Calibri" w:eastAsia="Calibri" w:hAnsi="Calibri"/>
          <w:color w:val="000000"/>
          <w:sz w:val="22"/>
          <w:szCs w:val="22"/>
        </w:rPr>
        <w:t xml:space="preserve">Regards</w:t>
      </w:r>
    </w:p>
    <w:p>
      <w:pPr>
        <w:spacing w:after="160" w:line="276"/>
      </w:pPr>
      <w:r>
        <w:rPr>
          <w:rFonts w:ascii="Calibri" w:cs="Calibri" w:eastAsia="Calibri" w:hAnsi="Calibri"/>
          <w:color w:val="000000"/>
          <w:sz w:val="22"/>
          <w:szCs w:val="22"/>
        </w:rPr>
        <w:t xml:space="preserve">Simon Reid</w:t>
      </w:r>
    </w:p>
    <w:p>
      <w:pPr>
        <w:spacing w:after="240" w:line="276"/>
      </w:pPr>
      <w:r>
        <w:rPr>
          <w:rFonts w:ascii="Calibri" w:cs="Calibri" w:eastAsia="Calibri" w:hAnsi="Calibri"/>
          <w:color w:val="000000"/>
          <w:sz w:val="22"/>
          <w:szCs w:val="22"/>
        </w:rPr>
        <w:t xml:space="preserve">[phone] · [email]</w:t>
      </w:r>
    </w:p>
    <w:p>
      <w:pPr>
        <w:pBdr>
          <w:bottom w:val="single" w:color="BFBFBF" w:sz="6"/>
        </w:pBdr>
        <w:spacing w:after="200" w:before="60"/>
      </w:pPr>
    </w:p>
    <w:p>
      <w:pPr>
        <w:pStyle w:val="Heading1"/>
        <w:spacing w:after="180" w:before="320"/>
      </w:pPr>
      <w:r>
        <w:rPr>
          <w:rFonts w:ascii="Calibri" w:cs="Calibri" w:eastAsia="Calibri" w:hAnsi="Calibri"/>
          <w:b/>
          <w:bCs/>
          <w:color w:val="1F3557"/>
          <w:sz w:val="30"/>
          <w:szCs w:val="30"/>
        </w:rPr>
        <w:t xml:space="preserve">PART B — Schedule: scope, assumptions and quote format</w:t>
      </w:r>
    </w:p>
    <w:p>
      <w:pPr>
        <w:pStyle w:val="Heading2"/>
        <w:spacing w:after="120" w:before="260"/>
      </w:pPr>
      <w:r>
        <w:rPr>
          <w:rFonts w:ascii="Calibri" w:cs="Calibri" w:eastAsia="Calibri" w:hAnsi="Calibri"/>
          <w:b/>
          <w:bCs/>
          <w:color w:val="1F3557"/>
          <w:sz w:val="24"/>
          <w:szCs w:val="24"/>
        </w:rPr>
        <w:t xml:space="preserve">1. Matter</w:t>
      </w:r>
    </w:p>
    <w:p>
      <w:pPr>
        <w:spacing w:after="160" w:line="276"/>
      </w:pPr>
      <w:r>
        <w:rPr>
          <w:rFonts w:ascii="Calibri" w:cs="Calibri" w:eastAsia="Calibri" w:hAnsi="Calibri"/>
          <w:color w:val="000000"/>
          <w:sz w:val="22"/>
          <w:szCs w:val="22"/>
        </w:rPr>
        <w:t xml:space="preserve">Proposed originating application under s 39B of the Judiciary Act 1903 (Cth), Federal Court of Australia, Western Australia Registry, Administrative and Constitutional Law and Human Rights NPA. Applicants: Simon Reid and Vida Reid (individuals; presently self-represented). Respondent: Commissioner of the NDIS Quality and Safeguards Commission. Relief sought: declarations and orders in the nature of certiorari quashing the banning orders as varied with effect 22 April 2023 (and identified original orders), on grounds relying on Sunflower Care Services (No 2) [2025] FCA 1442, together with case-management and interlocutory relief. Filing fee ($1,805, item 101) is payable by the applicants directly.</w:t>
      </w:r>
    </w:p>
    <w:p>
      <w:pPr>
        <w:pStyle w:val="Heading2"/>
        <w:spacing w:after="120" w:before="260"/>
      </w:pPr>
      <w:r>
        <w:rPr>
          <w:rFonts w:ascii="Calibri" w:cs="Calibri" w:eastAsia="Calibri" w:hAnsi="Calibri"/>
          <w:b/>
          <w:bCs/>
          <w:color w:val="1F3557"/>
          <w:sz w:val="24"/>
          <w:szCs w:val="24"/>
        </w:rPr>
        <w:t xml:space="preserve">2. Materials provided on conflict clearance (“the Bundle”)</w:t>
      </w:r>
    </w:p>
    <w:p>
      <w:pPr>
        <w:pStyle w:val="ListParagraph"/>
        <w:numPr>
          <w:ilvl w:val="0"/>
          <w:numId w:val="2"/>
        </w:numPr>
        <w:spacing w:after="160" w:line="276"/>
      </w:pPr>
      <w:r>
        <w:rPr>
          <w:rFonts w:ascii="Calibri" w:cs="Calibri" w:eastAsia="Calibri" w:hAnsi="Calibri"/>
          <w:color w:val="000000"/>
          <w:sz w:val="22"/>
          <w:szCs w:val="22"/>
        </w:rPr>
        <w:t xml:space="preserve">Drafted filing suite of 15 documents (Form 69; statement of claim; outline of submissions; interlocutory application and proposed short minute; three affidavits; court book and authorities index; settling schedule; pre-action letter; supplementary notes; manifest), approximately 150 pages.</w:t>
      </w:r>
    </w:p>
    <w:p>
      <w:pPr>
        <w:pStyle w:val="ListParagraph"/>
        <w:numPr>
          <w:ilvl w:val="0"/>
          <w:numId w:val="2"/>
        </w:numPr>
        <w:spacing w:after="160" w:line="276"/>
      </w:pPr>
      <w:r>
        <w:rPr>
          <w:rFonts w:ascii="Calibri" w:cs="Calibri" w:eastAsia="Calibri" w:hAnsi="Calibri"/>
          <w:color w:val="000000"/>
          <w:sz w:val="22"/>
          <w:szCs w:val="22"/>
        </w:rPr>
        <w:t xml:space="preserve">The four operative instruments (two original banning orders, December 2022; two variation decisions operative 22 April 2023) with internal-review reasons.</w:t>
      </w:r>
    </w:p>
    <w:p>
      <w:pPr>
        <w:pStyle w:val="ListParagraph"/>
        <w:numPr>
          <w:ilvl w:val="0"/>
          <w:numId w:val="2"/>
        </w:numPr>
        <w:spacing w:after="160" w:line="276"/>
      </w:pPr>
      <w:r>
        <w:rPr>
          <w:rFonts w:ascii="Calibri" w:cs="Calibri" w:eastAsia="Calibri" w:hAnsi="Calibri"/>
          <w:color w:val="000000"/>
          <w:sz w:val="22"/>
          <w:szCs w:val="22"/>
        </w:rPr>
        <w:t xml:space="preserve">Sunflower (No 2) [2025] FCA 1442 and Sunflower (Costs) [2026] FCA 261.</w:t>
      </w:r>
    </w:p>
    <w:p>
      <w:pPr>
        <w:pStyle w:val="ListParagraph"/>
        <w:numPr>
          <w:ilvl w:val="0"/>
          <w:numId w:val="2"/>
        </w:numPr>
        <w:spacing w:after="160" w:line="276"/>
      </w:pPr>
      <w:r>
        <w:rPr>
          <w:rFonts w:ascii="Calibri" w:cs="Calibri" w:eastAsia="Calibri" w:hAnsi="Calibri"/>
          <w:color w:val="000000"/>
          <w:sz w:val="22"/>
          <w:szCs w:val="22"/>
        </w:rPr>
        <w:t xml:space="preserve">Filing mechanics brief (eLodgment categorisation, form, fees, service) and an indexed chronology; further source documents as requested.</w:t>
      </w:r>
    </w:p>
    <w:p>
      <w:pPr>
        <w:pStyle w:val="ListParagraph"/>
        <w:numPr>
          <w:ilvl w:val="0"/>
          <w:numId w:val="2"/>
        </w:numPr>
        <w:spacing w:after="160" w:line="276"/>
      </w:pPr>
      <w:r>
        <w:rPr>
          <w:rFonts w:ascii="Calibri" w:cs="Calibri" w:eastAsia="Calibri" w:hAnsi="Calibri"/>
          <w:color w:val="000000"/>
          <w:sz w:val="22"/>
          <w:szCs w:val="22"/>
        </w:rPr>
        <w:t xml:space="preserve">Instructions come from a single point of contact (Simon Reid), by email.</w:t>
      </w:r>
    </w:p>
    <w:p>
      <w:pPr>
        <w:pStyle w:val="Heading2"/>
        <w:spacing w:after="120" w:before="260"/>
      </w:pPr>
      <w:r>
        <w:rPr>
          <w:rFonts w:ascii="Calibri" w:cs="Calibri" w:eastAsia="Calibri" w:hAnsi="Calibri"/>
          <w:b/>
          <w:bCs/>
          <w:color w:val="1F3557"/>
          <w:sz w:val="24"/>
          <w:szCs w:val="24"/>
        </w:rPr>
        <w:t xml:space="preserve">3. Stages and deliverables — quote each stage separately</w:t>
      </w:r>
    </w:p>
    <w:p>
      <w:pPr>
        <w:spacing w:after="160" w:line="276"/>
      </w:pPr>
      <w:r>
        <w:rPr>
          <w:rFonts w:ascii="Calibri" w:cs="Calibri" w:eastAsia="Calibri" w:hAnsi="Calibri"/>
          <w:b/>
          <w:bCs/>
          <w:color w:val="000000"/>
          <w:sz w:val="22"/>
          <w:szCs w:val="22"/>
        </w:rPr>
        <w:t xml:space="preserve">Stage 0 — Conflict check and scoping. </w:t>
      </w:r>
      <w:r>
        <w:rPr>
          <w:rFonts w:ascii="Calibri" w:cs="Calibri" w:eastAsia="Calibri" w:hAnsi="Calibri"/>
          <w:color w:val="000000"/>
          <w:sz w:val="22"/>
          <w:szCs w:val="22"/>
        </w:rPr>
        <w:t xml:space="preserve">Conflict check; one scoping conference (up to 1 hour); written confirmation of capacity to act and earliest timing. State the fee (nil expected).</w:t>
      </w:r>
    </w:p>
    <w:p>
      <w:pPr>
        <w:spacing w:after="160" w:line="276"/>
      </w:pPr>
      <w:r>
        <w:rPr>
          <w:rFonts w:ascii="Calibri" w:cs="Calibri" w:eastAsia="Calibri" w:hAnsi="Calibri"/>
          <w:b/>
          <w:bCs/>
          <w:color w:val="000000"/>
          <w:sz w:val="22"/>
          <w:szCs w:val="22"/>
        </w:rPr>
        <w:t xml:space="preserve">Stage 1 — Review and advice (fixed fee). </w:t>
      </w:r>
      <w:r>
        <w:rPr>
          <w:rFonts w:ascii="Calibri" w:cs="Calibri" w:eastAsia="Calibri" w:hAnsi="Calibri"/>
          <w:color w:val="000000"/>
          <w:sz w:val="22"/>
          <w:szCs w:val="22"/>
        </w:rPr>
        <w:t xml:space="preserve">Deliverable: written advice (5–10 pages) covering (a) prospects on the primary grounds; (b) any defect in the drafted suite that would embarrass the filing (parties, form, relief framing, affidavit content); (c) pre-action letter first versus file-first, including the effect of undertakings on utility of relief; (d) deponent risk in view of collateral processes and the minimum-affidavit, document-led approach; and (e) a go/no-go recommendation. One conference included. If counsel’s opinion is included, say so and price it separately at cost.</w:t>
      </w:r>
    </w:p>
    <w:p>
      <w:pPr>
        <w:spacing w:after="160" w:line="276"/>
      </w:pPr>
      <w:r>
        <w:rPr>
          <w:rFonts w:ascii="Calibri" w:cs="Calibri" w:eastAsia="Calibri" w:hAnsi="Calibri"/>
          <w:b/>
          <w:bCs/>
          <w:color w:val="000000"/>
          <w:sz w:val="22"/>
          <w:szCs w:val="22"/>
        </w:rPr>
        <w:t xml:space="preserve">Stage 2 — Settle, lodge, serve (fixed fee). </w:t>
      </w:r>
      <w:r>
        <w:rPr>
          <w:rFonts w:ascii="Calibri" w:cs="Calibri" w:eastAsia="Calibri" w:hAnsi="Calibri"/>
          <w:color w:val="000000"/>
          <w:sz w:val="22"/>
          <w:szCs w:val="22"/>
        </w:rPr>
        <w:t xml:space="preserve">Deliverables: settled Form 69, statement of claim, affidavits and genuine steps statement (two drafting turns each included); if counsel is briefed to settle, counsel’s fixed brief fee disclosed and at cost; lodgement via eLodgment; sealed copies provided; service on the respondent (AGS Perth) and confirmation of service. Applicants pay the filing fee directly at lodgement.</w:t>
      </w:r>
    </w:p>
    <w:p>
      <w:pPr>
        <w:spacing w:after="160" w:line="276"/>
      </w:pPr>
      <w:r>
        <w:rPr>
          <w:rFonts w:ascii="Calibri" w:cs="Calibri" w:eastAsia="Calibri" w:hAnsi="Calibri"/>
          <w:b/>
          <w:bCs/>
          <w:color w:val="000000"/>
          <w:sz w:val="22"/>
          <w:szCs w:val="22"/>
        </w:rPr>
        <w:t xml:space="preserve">Stage 3 — First case management hearing (fixed fee). </w:t>
      </w:r>
      <w:r>
        <w:rPr>
          <w:rFonts w:ascii="Calibri" w:cs="Calibri" w:eastAsia="Calibri" w:hAnsi="Calibri"/>
          <w:color w:val="000000"/>
          <w:sz w:val="22"/>
          <w:szCs w:val="22"/>
        </w:rPr>
        <w:t xml:space="preserve">Deliverables: preparation, proposed short minute of directions, appearance (state whether solicitor or counsel appears and the cost of each), and a short written report on directions made and next steps.</w:t>
      </w:r>
    </w:p>
    <w:p>
      <w:pPr>
        <w:spacing w:after="160" w:line="276"/>
      </w:pPr>
      <w:r>
        <w:rPr>
          <w:rFonts w:ascii="Calibri" w:cs="Calibri" w:eastAsia="Calibri" w:hAnsi="Calibri"/>
          <w:b/>
          <w:bCs/>
          <w:color w:val="000000"/>
          <w:sz w:val="22"/>
          <w:szCs w:val="22"/>
        </w:rPr>
        <w:t xml:space="preserve">Stage 4 — Respondent interlocutory application, if any (capped range now; fixed quote later). </w:t>
      </w:r>
      <w:r>
        <w:rPr>
          <w:rFonts w:ascii="Calibri" w:cs="Calibri" w:eastAsia="Calibri" w:hAnsi="Calibri"/>
          <w:color w:val="000000"/>
          <w:sz w:val="22"/>
          <w:szCs w:val="22"/>
        </w:rPr>
        <w:t xml:space="preserve">For example summary dismissal, strike-out or a stay pending the ART. Not to be fixed now. Provide: (a) an indicative capped range assuming one application, one round of submissions and a half-day hearing; and (b) a commitment to deliver a binding fixed quote within five business days of service of any such application. No Stage 4 work is authorised without written acceptance of that quote.</w:t>
      </w:r>
    </w:p>
    <w:p>
      <w:pPr>
        <w:pStyle w:val="Heading2"/>
        <w:spacing w:after="120" w:before="260"/>
      </w:pPr>
      <w:r>
        <w:rPr>
          <w:rFonts w:ascii="Calibri" w:cs="Calibri" w:eastAsia="Calibri" w:hAnsi="Calibri"/>
          <w:b/>
          <w:bCs/>
          <w:color w:val="1F3557"/>
          <w:sz w:val="24"/>
          <w:szCs w:val="24"/>
        </w:rPr>
        <w:t xml:space="preserve">4. Engagement models — quote both, or state which you offer</w:t>
      </w:r>
    </w:p>
    <w:p>
      <w:pPr>
        <w:spacing w:after="160" w:line="276"/>
      </w:pPr>
      <w:r>
        <w:rPr>
          <w:rFonts w:ascii="Calibri" w:cs="Calibri" w:eastAsia="Calibri" w:hAnsi="Calibri"/>
          <w:b/>
          <w:bCs/>
          <w:color w:val="000000"/>
          <w:sz w:val="22"/>
          <w:szCs w:val="22"/>
        </w:rPr>
        <w:t xml:space="preserve">Model A — on the record: </w:t>
      </w:r>
      <w:r>
        <w:rPr>
          <w:rFonts w:ascii="Calibri" w:cs="Calibri" w:eastAsia="Calibri" w:hAnsi="Calibri"/>
          <w:color w:val="000000"/>
          <w:sz w:val="22"/>
          <w:szCs w:val="22"/>
        </w:rPr>
        <w:t xml:space="preserve">the firm acts from filing; the firm’s address is the address for service.</w:t>
      </w:r>
    </w:p>
    <w:p>
      <w:pPr>
        <w:spacing w:after="160" w:line="276"/>
      </w:pPr>
      <w:r>
        <w:rPr>
          <w:rFonts w:ascii="Calibri" w:cs="Calibri" w:eastAsia="Calibri" w:hAnsi="Calibri"/>
          <w:b/>
          <w:bCs/>
          <w:color w:val="000000"/>
          <w:sz w:val="22"/>
          <w:szCs w:val="22"/>
        </w:rPr>
        <w:t xml:space="preserve">Model B — documents and advice: </w:t>
      </w:r>
      <w:r>
        <w:rPr>
          <w:rFonts w:ascii="Calibri" w:cs="Calibri" w:eastAsia="Calibri" w:hAnsi="Calibri"/>
          <w:color w:val="000000"/>
          <w:sz w:val="22"/>
          <w:szCs w:val="22"/>
        </w:rPr>
        <w:t xml:space="preserve">the firm (and counsel, if briefed) review, advise and settle; the applicants remain self-represented, lodge personally through the verified eLodgment pathway, and use their own address for service; the firm may later file a notice of acting by agreement.</w:t>
      </w:r>
    </w:p>
    <w:p>
      <w:pPr>
        <w:pStyle w:val="Heading2"/>
        <w:spacing w:after="120" w:before="260"/>
      </w:pPr>
      <w:r>
        <w:rPr>
          <w:rFonts w:ascii="Calibri" w:cs="Calibri" w:eastAsia="Calibri" w:hAnsi="Calibri"/>
          <w:b/>
          <w:bCs/>
          <w:color w:val="1F3557"/>
          <w:sz w:val="24"/>
          <w:szCs w:val="24"/>
        </w:rPr>
        <w:t xml:space="preserve">5. Assumptions your quote may rely on</w:t>
      </w:r>
    </w:p>
    <w:p>
      <w:pPr>
        <w:pStyle w:val="ListParagraph"/>
        <w:numPr>
          <w:ilvl w:val="0"/>
          <w:numId w:val="2"/>
        </w:numPr>
        <w:spacing w:after="160" w:line="276"/>
      </w:pPr>
      <w:r>
        <w:rPr>
          <w:rFonts w:ascii="Calibri" w:cs="Calibri" w:eastAsia="Calibri" w:hAnsi="Calibri"/>
          <w:color w:val="000000"/>
          <w:sz w:val="22"/>
          <w:szCs w:val="22"/>
        </w:rPr>
        <w:t xml:space="preserve">The Bundle is provided as described, in Word and PDF; no re-origination of documents is included — the work is review and settling.</w:t>
      </w:r>
    </w:p>
    <w:p>
      <w:pPr>
        <w:pStyle w:val="ListParagraph"/>
        <w:numPr>
          <w:ilvl w:val="0"/>
          <w:numId w:val="2"/>
        </w:numPr>
        <w:spacing w:after="160" w:line="276"/>
      </w:pPr>
      <w:r>
        <w:rPr>
          <w:rFonts w:ascii="Calibri" w:cs="Calibri" w:eastAsia="Calibri" w:hAnsi="Calibri"/>
          <w:color w:val="000000"/>
          <w:sz w:val="22"/>
          <w:szCs w:val="22"/>
        </w:rPr>
        <w:t xml:space="preserve">Single point of instruction; instructions by email; no conferences beyond those stated in each stage.</w:t>
      </w:r>
    </w:p>
    <w:p>
      <w:pPr>
        <w:pStyle w:val="ListParagraph"/>
        <w:numPr>
          <w:ilvl w:val="0"/>
          <w:numId w:val="2"/>
        </w:numPr>
        <w:spacing w:after="160" w:line="276"/>
      </w:pPr>
      <w:r>
        <w:rPr>
          <w:rFonts w:ascii="Calibri" w:cs="Calibri" w:eastAsia="Calibri" w:hAnsi="Calibri"/>
          <w:color w:val="000000"/>
          <w:sz w:val="22"/>
          <w:szCs w:val="22"/>
        </w:rPr>
        <w:t xml:space="preserve">No ADJR Act limb, no damages or misfeasance claims, a single respondent, no cross-claims; electronic lodgement.</w:t>
      </w:r>
    </w:p>
    <w:p>
      <w:pPr>
        <w:pStyle w:val="ListParagraph"/>
        <w:numPr>
          <w:ilvl w:val="0"/>
          <w:numId w:val="2"/>
        </w:numPr>
        <w:spacing w:after="160" w:line="276"/>
      </w:pPr>
      <w:r>
        <w:rPr>
          <w:rFonts w:ascii="Calibri" w:cs="Calibri" w:eastAsia="Calibri" w:hAnsi="Calibri"/>
          <w:color w:val="000000"/>
          <w:sz w:val="22"/>
          <w:szCs w:val="22"/>
        </w:rPr>
        <w:t xml:space="preserve">The ART proceedings are excluded from scope (see 6).</w:t>
      </w:r>
    </w:p>
    <w:p>
      <w:pPr>
        <w:pStyle w:val="ListParagraph"/>
        <w:numPr>
          <w:ilvl w:val="0"/>
          <w:numId w:val="2"/>
        </w:numPr>
        <w:spacing w:after="160" w:line="276"/>
      </w:pPr>
      <w:r>
        <w:rPr>
          <w:rFonts w:ascii="Calibri" w:cs="Calibri" w:eastAsia="Calibri" w:hAnsi="Calibri"/>
          <w:color w:val="000000"/>
          <w:sz w:val="22"/>
          <w:szCs w:val="22"/>
        </w:rPr>
        <w:t xml:space="preserve">Anything outside the stated deliverables is out of scope and subject to change control (see 7).</w:t>
      </w:r>
    </w:p>
    <w:p>
      <w:pPr>
        <w:pStyle w:val="Heading2"/>
        <w:spacing w:after="120" w:before="260"/>
      </w:pPr>
      <w:r>
        <w:rPr>
          <w:rFonts w:ascii="Calibri" w:cs="Calibri" w:eastAsia="Calibri" w:hAnsi="Calibri"/>
          <w:b/>
          <w:bCs/>
          <w:color w:val="1F3557"/>
          <w:sz w:val="24"/>
          <w:szCs w:val="24"/>
        </w:rPr>
        <w:t xml:space="preserve">6. Exclusions (acknowledged by the applicants)</w:t>
      </w:r>
    </w:p>
    <w:p>
      <w:pPr>
        <w:spacing w:after="160" w:line="276"/>
      </w:pPr>
      <w:r>
        <w:rPr>
          <w:rFonts w:ascii="Calibri" w:cs="Calibri" w:eastAsia="Calibri" w:hAnsi="Calibri"/>
          <w:color w:val="000000"/>
          <w:sz w:val="22"/>
          <w:szCs w:val="22"/>
        </w:rPr>
        <w:t xml:space="preserve">ART proceedings 2023/3361, 2023/3363 and 2023/4494 and any step in them; discovery and subpoenas; appeals; any Stage 4 work absent an accepted quote; correspondence with media or regulators; any separate proceeding against any other agency or person.</w:t>
      </w:r>
    </w:p>
    <w:p>
      <w:pPr>
        <w:pStyle w:val="Heading2"/>
        <w:spacing w:after="120" w:before="260"/>
      </w:pPr>
      <w:r>
        <w:rPr>
          <w:rFonts w:ascii="Calibri" w:cs="Calibri" w:eastAsia="Calibri" w:hAnsi="Calibri"/>
          <w:b/>
          <w:bCs/>
          <w:color w:val="1F3557"/>
          <w:sz w:val="24"/>
          <w:szCs w:val="24"/>
        </w:rPr>
        <w:t xml:space="preserve">7. Change control</w:t>
      </w:r>
    </w:p>
    <w:p>
      <w:pPr>
        <w:spacing w:after="160" w:line="276"/>
      </w:pPr>
      <w:r>
        <w:rPr>
          <w:rFonts w:ascii="Calibri" w:cs="Calibri" w:eastAsia="Calibri" w:hAnsi="Calibri"/>
          <w:color w:val="000000"/>
          <w:sz w:val="22"/>
          <w:szCs w:val="22"/>
        </w:rPr>
        <w:t xml:space="preserve">Work outside a stage’s stated deliverables requires a prior written variation quote, accepted in writing, before the work is performed. Work performed without an accepted variation is not chargeable. This term is to be reflected in the costs agreement.</w:t>
      </w:r>
    </w:p>
    <w:p>
      <w:pPr>
        <w:pStyle w:val="Heading2"/>
        <w:spacing w:after="120" w:before="260"/>
      </w:pPr>
      <w:r>
        <w:rPr>
          <w:rFonts w:ascii="Calibri" w:cs="Calibri" w:eastAsia="Calibri" w:hAnsi="Calibri"/>
          <w:b/>
          <w:bCs/>
          <w:color w:val="1F3557"/>
          <w:sz w:val="24"/>
          <w:szCs w:val="24"/>
        </w:rPr>
        <w:t xml:space="preserve">8. Quote format requested — complete per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160"/>
        <w:gridCol w:w="3500"/>
      </w:tblGrid>
      <w:tr>
        <w:trPr>
          <w:tblHeader/>
        </w:trPr>
        <w:tc>
          <w:tcPr>
            <w:tcW w:type="dxa" w:w="1700"/>
            <w:shd w:fill="E8EDF4" w:val="clear"/>
            <w:tcMar>
              <w:top w:type="dxa" w:w="80"/>
              <w:left w:type="dxa" w:w="120"/>
              <w:bottom w:type="dxa" w:w="80"/>
              <w:right w:type="dxa" w:w="120"/>
            </w:tcMar>
          </w:tcPr>
          <w:p>
            <w:r>
              <w:rPr>
                <w:rFonts w:ascii="Calibri" w:cs="Calibri" w:eastAsia="Calibri" w:hAnsi="Calibri"/>
                <w:b/>
                <w:bCs/>
                <w:sz w:val="20"/>
                <w:szCs w:val="20"/>
              </w:rPr>
              <w:t xml:space="preserve">Stage</w:t>
            </w:r>
          </w:p>
        </w:tc>
        <w:tc>
          <w:tcPr>
            <w:tcW w:type="dxa" w:w="4160"/>
            <w:shd w:fill="E8EDF4" w:val="clear"/>
            <w:tcMar>
              <w:top w:type="dxa" w:w="80"/>
              <w:left w:type="dxa" w:w="120"/>
              <w:bottom w:type="dxa" w:w="80"/>
              <w:right w:type="dxa" w:w="120"/>
            </w:tcMar>
          </w:tcPr>
          <w:p>
            <w:r>
              <w:rPr>
                <w:rFonts w:ascii="Calibri" w:cs="Calibri" w:eastAsia="Calibri" w:hAnsi="Calibri"/>
                <w:b/>
                <w:bCs/>
                <w:sz w:val="20"/>
                <w:szCs w:val="20"/>
              </w:rPr>
              <w:t xml:space="preserve">Fixed fee (incl GST) — state “binding fixed fee” or “estimate”</w:t>
            </w:r>
          </w:p>
        </w:tc>
        <w:tc>
          <w:tcPr>
            <w:tcW w:type="dxa" w:w="3500"/>
            <w:shd w:fill="E8EDF4" w:val="clear"/>
            <w:tcMar>
              <w:top w:type="dxa" w:w="80"/>
              <w:left w:type="dxa" w:w="120"/>
              <w:bottom w:type="dxa" w:w="80"/>
              <w:right w:type="dxa" w:w="120"/>
            </w:tcMar>
          </w:tcPr>
          <w:p>
            <w:r>
              <w:rPr>
                <w:rFonts w:ascii="Calibri" w:cs="Calibri" w:eastAsia="Calibri" w:hAnsi="Calibri"/>
                <w:b/>
                <w:bCs/>
                <w:sz w:val="20"/>
                <w:szCs w:val="20"/>
              </w:rPr>
              <w:t xml:space="preserve">Counsel fee (at cost) / disbursements / personnel</w:t>
            </w:r>
          </w:p>
        </w:tc>
      </w:tr>
      <w:tr>
        <w:tc>
          <w:tcPr>
            <w:tcW w:type="dxa" w:w="1700"/>
            <w:tcMar>
              <w:top w:type="dxa" w:w="80"/>
              <w:left w:type="dxa" w:w="120"/>
              <w:bottom w:type="dxa" w:w="80"/>
              <w:right w:type="dxa" w:w="120"/>
            </w:tcMar>
          </w:tcPr>
          <w:p>
            <w:r>
              <w:rPr>
                <w:rFonts w:ascii="Calibri" w:cs="Calibri" w:eastAsia="Calibri" w:hAnsi="Calibri"/>
                <w:sz w:val="20"/>
                <w:szCs w:val="20"/>
              </w:rPr>
              <w:t xml:space="preserve">Stage 0</w:t>
            </w:r>
          </w:p>
        </w:tc>
        <w:tc>
          <w:tcPr>
            <w:tcW w:type="dxa" w:w="4160"/>
            <w:tcMar>
              <w:top w:type="dxa" w:w="80"/>
              <w:left w:type="dxa" w:w="120"/>
              <w:bottom w:type="dxa" w:w="80"/>
              <w:right w:type="dxa" w:w="120"/>
            </w:tcMar>
          </w:tcPr>
          <w:p>
            <w:r>
              <w:rPr>
                <w:rFonts w:ascii="Calibri" w:cs="Calibri" w:eastAsia="Calibri" w:hAnsi="Calibri"/>
                <w:sz w:val="20"/>
                <w:szCs w:val="20"/>
              </w:rPr>
              <w:t xml:space="preserve"/>
            </w:r>
          </w:p>
        </w:tc>
        <w:tc>
          <w:tcPr>
            <w:tcW w:type="dxa" w:w="3500"/>
            <w:tcMar>
              <w:top w:type="dxa" w:w="80"/>
              <w:left w:type="dxa" w:w="120"/>
              <w:bottom w:type="dxa" w:w="80"/>
              <w:right w:type="dxa" w:w="120"/>
            </w:tcMar>
          </w:tcPr>
          <w:p>
            <w:r>
              <w:rPr>
                <w:rFonts w:ascii="Calibri" w:cs="Calibri" w:eastAsia="Calibri" w:hAnsi="Calibri"/>
                <w:sz w:val="20"/>
                <w:szCs w:val="20"/>
              </w:rPr>
              <w:t xml:space="preserve"/>
            </w:r>
          </w:p>
        </w:tc>
      </w:tr>
      <w:tr>
        <w:tc>
          <w:tcPr>
            <w:tcW w:type="dxa" w:w="1700"/>
            <w:tcMar>
              <w:top w:type="dxa" w:w="80"/>
              <w:left w:type="dxa" w:w="120"/>
              <w:bottom w:type="dxa" w:w="80"/>
              <w:right w:type="dxa" w:w="120"/>
            </w:tcMar>
          </w:tcPr>
          <w:p>
            <w:r>
              <w:rPr>
                <w:rFonts w:ascii="Calibri" w:cs="Calibri" w:eastAsia="Calibri" w:hAnsi="Calibri"/>
                <w:sz w:val="20"/>
                <w:szCs w:val="20"/>
              </w:rPr>
              <w:t xml:space="preserve">Stage 1</w:t>
            </w:r>
          </w:p>
        </w:tc>
        <w:tc>
          <w:tcPr>
            <w:tcW w:type="dxa" w:w="4160"/>
            <w:tcMar>
              <w:top w:type="dxa" w:w="80"/>
              <w:left w:type="dxa" w:w="120"/>
              <w:bottom w:type="dxa" w:w="80"/>
              <w:right w:type="dxa" w:w="120"/>
            </w:tcMar>
          </w:tcPr>
          <w:p>
            <w:r>
              <w:rPr>
                <w:rFonts w:ascii="Calibri" w:cs="Calibri" w:eastAsia="Calibri" w:hAnsi="Calibri"/>
                <w:sz w:val="20"/>
                <w:szCs w:val="20"/>
              </w:rPr>
              <w:t xml:space="preserve"/>
            </w:r>
          </w:p>
        </w:tc>
        <w:tc>
          <w:tcPr>
            <w:tcW w:type="dxa" w:w="3500"/>
            <w:tcMar>
              <w:top w:type="dxa" w:w="80"/>
              <w:left w:type="dxa" w:w="120"/>
              <w:bottom w:type="dxa" w:w="80"/>
              <w:right w:type="dxa" w:w="120"/>
            </w:tcMar>
          </w:tcPr>
          <w:p>
            <w:r>
              <w:rPr>
                <w:rFonts w:ascii="Calibri" w:cs="Calibri" w:eastAsia="Calibri" w:hAnsi="Calibri"/>
                <w:sz w:val="20"/>
                <w:szCs w:val="20"/>
              </w:rPr>
              <w:t xml:space="preserve"/>
            </w:r>
          </w:p>
        </w:tc>
      </w:tr>
      <w:tr>
        <w:tc>
          <w:tcPr>
            <w:tcW w:type="dxa" w:w="1700"/>
            <w:tcMar>
              <w:top w:type="dxa" w:w="80"/>
              <w:left w:type="dxa" w:w="120"/>
              <w:bottom w:type="dxa" w:w="80"/>
              <w:right w:type="dxa" w:w="120"/>
            </w:tcMar>
          </w:tcPr>
          <w:p>
            <w:r>
              <w:rPr>
                <w:rFonts w:ascii="Calibri" w:cs="Calibri" w:eastAsia="Calibri" w:hAnsi="Calibri"/>
                <w:sz w:val="20"/>
                <w:szCs w:val="20"/>
              </w:rPr>
              <w:t xml:space="preserve">Stage 2</w:t>
            </w:r>
          </w:p>
        </w:tc>
        <w:tc>
          <w:tcPr>
            <w:tcW w:type="dxa" w:w="4160"/>
            <w:tcMar>
              <w:top w:type="dxa" w:w="80"/>
              <w:left w:type="dxa" w:w="120"/>
              <w:bottom w:type="dxa" w:w="80"/>
              <w:right w:type="dxa" w:w="120"/>
            </w:tcMar>
          </w:tcPr>
          <w:p>
            <w:r>
              <w:rPr>
                <w:rFonts w:ascii="Calibri" w:cs="Calibri" w:eastAsia="Calibri" w:hAnsi="Calibri"/>
                <w:sz w:val="20"/>
                <w:szCs w:val="20"/>
              </w:rPr>
              <w:t xml:space="preserve"/>
            </w:r>
          </w:p>
        </w:tc>
        <w:tc>
          <w:tcPr>
            <w:tcW w:type="dxa" w:w="3500"/>
            <w:tcMar>
              <w:top w:type="dxa" w:w="80"/>
              <w:left w:type="dxa" w:w="120"/>
              <w:bottom w:type="dxa" w:w="80"/>
              <w:right w:type="dxa" w:w="120"/>
            </w:tcMar>
          </w:tcPr>
          <w:p>
            <w:r>
              <w:rPr>
                <w:rFonts w:ascii="Calibri" w:cs="Calibri" w:eastAsia="Calibri" w:hAnsi="Calibri"/>
                <w:sz w:val="20"/>
                <w:szCs w:val="20"/>
              </w:rPr>
              <w:t xml:space="preserve"/>
            </w:r>
          </w:p>
        </w:tc>
      </w:tr>
      <w:tr>
        <w:tc>
          <w:tcPr>
            <w:tcW w:type="dxa" w:w="1700"/>
            <w:tcMar>
              <w:top w:type="dxa" w:w="80"/>
              <w:left w:type="dxa" w:w="120"/>
              <w:bottom w:type="dxa" w:w="80"/>
              <w:right w:type="dxa" w:w="120"/>
            </w:tcMar>
          </w:tcPr>
          <w:p>
            <w:r>
              <w:rPr>
                <w:rFonts w:ascii="Calibri" w:cs="Calibri" w:eastAsia="Calibri" w:hAnsi="Calibri"/>
                <w:sz w:val="20"/>
                <w:szCs w:val="20"/>
              </w:rPr>
              <w:t xml:space="preserve">Stage 3</w:t>
            </w:r>
          </w:p>
        </w:tc>
        <w:tc>
          <w:tcPr>
            <w:tcW w:type="dxa" w:w="4160"/>
            <w:tcMar>
              <w:top w:type="dxa" w:w="80"/>
              <w:left w:type="dxa" w:w="120"/>
              <w:bottom w:type="dxa" w:w="80"/>
              <w:right w:type="dxa" w:w="120"/>
            </w:tcMar>
          </w:tcPr>
          <w:p>
            <w:r>
              <w:rPr>
                <w:rFonts w:ascii="Calibri" w:cs="Calibri" w:eastAsia="Calibri" w:hAnsi="Calibri"/>
                <w:sz w:val="20"/>
                <w:szCs w:val="20"/>
              </w:rPr>
              <w:t xml:space="preserve"/>
            </w:r>
          </w:p>
        </w:tc>
        <w:tc>
          <w:tcPr>
            <w:tcW w:type="dxa" w:w="3500"/>
            <w:tcMar>
              <w:top w:type="dxa" w:w="80"/>
              <w:left w:type="dxa" w:w="120"/>
              <w:bottom w:type="dxa" w:w="80"/>
              <w:right w:type="dxa" w:w="120"/>
            </w:tcMar>
          </w:tcPr>
          <w:p>
            <w:r>
              <w:rPr>
                <w:rFonts w:ascii="Calibri" w:cs="Calibri" w:eastAsia="Calibri" w:hAnsi="Calibri"/>
                <w:sz w:val="20"/>
                <w:szCs w:val="20"/>
              </w:rPr>
              <w:t xml:space="preserve"/>
            </w:r>
          </w:p>
        </w:tc>
      </w:tr>
      <w:tr>
        <w:tc>
          <w:tcPr>
            <w:tcW w:type="dxa" w:w="1700"/>
            <w:tcMar>
              <w:top w:type="dxa" w:w="80"/>
              <w:left w:type="dxa" w:w="120"/>
              <w:bottom w:type="dxa" w:w="80"/>
              <w:right w:type="dxa" w:w="120"/>
            </w:tcMar>
          </w:tcPr>
          <w:p>
            <w:r>
              <w:rPr>
                <w:rFonts w:ascii="Calibri" w:cs="Calibri" w:eastAsia="Calibri" w:hAnsi="Calibri"/>
                <w:sz w:val="20"/>
                <w:szCs w:val="20"/>
              </w:rPr>
              <w:t xml:space="preserve">Stage 4 (capped range)</w:t>
            </w:r>
          </w:p>
        </w:tc>
        <w:tc>
          <w:tcPr>
            <w:tcW w:type="dxa" w:w="4160"/>
            <w:tcMar>
              <w:top w:type="dxa" w:w="80"/>
              <w:left w:type="dxa" w:w="120"/>
              <w:bottom w:type="dxa" w:w="80"/>
              <w:right w:type="dxa" w:w="120"/>
            </w:tcMar>
          </w:tcPr>
          <w:p>
            <w:r>
              <w:rPr>
                <w:rFonts w:ascii="Calibri" w:cs="Calibri" w:eastAsia="Calibri" w:hAnsi="Calibri"/>
                <w:sz w:val="20"/>
                <w:szCs w:val="20"/>
              </w:rPr>
              <w:t xml:space="preserve"/>
            </w:r>
          </w:p>
        </w:tc>
        <w:tc>
          <w:tcPr>
            <w:tcW w:type="dxa" w:w="3500"/>
            <w:tcMar>
              <w:top w:type="dxa" w:w="80"/>
              <w:left w:type="dxa" w:w="120"/>
              <w:bottom w:type="dxa" w:w="80"/>
              <w:right w:type="dxa" w:w="120"/>
            </w:tcMar>
          </w:tcPr>
          <w:p>
            <w:r>
              <w:rPr>
                <w:rFonts w:ascii="Calibri" w:cs="Calibri" w:eastAsia="Calibri" w:hAnsi="Calibri"/>
                <w:sz w:val="20"/>
                <w:szCs w:val="20"/>
              </w:rPr>
              <w:t xml:space="preserve"/>
            </w:r>
          </w:p>
        </w:tc>
      </w:tr>
    </w:tbl>
    <w:p>
      <w:pPr>
        <w:spacing w:after="120" w:line="276"/>
      </w:pPr>
      <w:r>
        <w:rPr>
          <w:rFonts w:ascii="Calibri" w:cs="Calibri" w:eastAsia="Calibri" w:hAnsi="Calibri"/>
          <w:color w:val="000000"/>
          <w:sz w:val="22"/>
          <w:szCs w:val="22"/>
        </w:rPr>
        <w:t xml:space="preserve"/>
      </w:r>
    </w:p>
    <w:p>
      <w:pPr>
        <w:spacing w:after="160" w:line="276"/>
      </w:pPr>
      <w:r>
        <w:rPr>
          <w:rFonts w:ascii="Calibri" w:cs="Calibri" w:eastAsia="Calibri" w:hAnsi="Calibri"/>
          <w:color w:val="000000"/>
          <w:sz w:val="22"/>
          <w:szCs w:val="22"/>
        </w:rPr>
        <w:t xml:space="preserve">Also state: payment terms (on completion of each stage or agreed milestone; money on account held in trust as required); the validity period of the quote; the earliest date Stage 2 could be completed; and hourly rates that would apply only to approved out-of-scope variations.</w:t>
      </w:r>
    </w:p>
    <w:p>
      <w:pPr>
        <w:pStyle w:val="Heading2"/>
        <w:spacing w:after="120" w:before="260"/>
      </w:pPr>
      <w:r>
        <w:rPr>
          <w:rFonts w:ascii="Calibri" w:cs="Calibri" w:eastAsia="Calibri" w:hAnsi="Calibri"/>
          <w:b/>
          <w:bCs/>
          <w:color w:val="1F3557"/>
          <w:sz w:val="24"/>
          <w:szCs w:val="24"/>
        </w:rPr>
        <w:t xml:space="preserve">9. Questions</w:t>
      </w:r>
    </w:p>
    <w:p>
      <w:pPr>
        <w:pStyle w:val="ListParagraph"/>
        <w:numPr>
          <w:ilvl w:val="0"/>
          <w:numId w:val="2"/>
        </w:numPr>
        <w:spacing w:after="160" w:line="276"/>
      </w:pPr>
      <w:r>
        <w:rPr>
          <w:rFonts w:ascii="Calibri" w:cs="Calibri" w:eastAsia="Calibri" w:hAnsi="Calibri"/>
          <w:color w:val="000000"/>
          <w:sz w:val="22"/>
          <w:szCs w:val="22"/>
        </w:rPr>
        <w:t xml:space="preserve">Federal Court judicial review experience in the last three years acting against Commonwealth agencies (matter examples welcome).</w:t>
      </w:r>
    </w:p>
    <w:p>
      <w:pPr>
        <w:pStyle w:val="ListParagraph"/>
        <w:numPr>
          <w:ilvl w:val="0"/>
          <w:numId w:val="2"/>
        </w:numPr>
        <w:spacing w:after="160" w:line="276"/>
      </w:pPr>
      <w:r>
        <w:rPr>
          <w:rFonts w:ascii="Calibri" w:cs="Calibri" w:eastAsia="Calibri" w:hAnsi="Calibri"/>
          <w:color w:val="000000"/>
          <w:sz w:val="22"/>
          <w:szCs w:val="22"/>
        </w:rPr>
        <w:t xml:space="preserve">Proposed counsel, their availability, and whether they will accept a fixed brief fee per stage.</w:t>
      </w:r>
    </w:p>
    <w:p>
      <w:pPr>
        <w:pStyle w:val="ListParagraph"/>
        <w:numPr>
          <w:ilvl w:val="0"/>
          <w:numId w:val="2"/>
        </w:numPr>
        <w:spacing w:after="160" w:line="276"/>
      </w:pPr>
      <w:r>
        <w:rPr>
          <w:rFonts w:ascii="Calibri" w:cs="Calibri" w:eastAsia="Calibri" w:hAnsi="Calibri"/>
          <w:color w:val="000000"/>
          <w:sz w:val="22"/>
          <w:szCs w:val="22"/>
        </w:rPr>
        <w:t xml:space="preserve">Conflicts: any Commonwealth legal services panel appointment, or any retainer for the NDIS Commission, the NDIA, or in AGS-instructed matters, that would prevent you acting adversely to the Commissioner.</w:t>
      </w:r>
    </w:p>
    <w:p>
      <w:pPr>
        <w:pStyle w:val="ListParagraph"/>
        <w:numPr>
          <w:ilvl w:val="0"/>
          <w:numId w:val="2"/>
        </w:numPr>
        <w:spacing w:after="160" w:line="276"/>
      </w:pPr>
      <w:r>
        <w:rPr>
          <w:rFonts w:ascii="Calibri" w:cs="Calibri" w:eastAsia="Calibri" w:hAnsi="Calibri"/>
          <w:color w:val="000000"/>
          <w:sz w:val="22"/>
          <w:szCs w:val="22"/>
        </w:rPr>
        <w:t xml:space="preserve">Your standard costs agreement and costs disclosure documents, for review with the quote.</w:t>
      </w:r>
    </w:p>
    <w:p>
      <w:pPr>
        <w:pStyle w:val="ListParagraph"/>
        <w:numPr>
          <w:ilvl w:val="0"/>
          <w:numId w:val="2"/>
        </w:numPr>
        <w:spacing w:after="160" w:line="276"/>
      </w:pPr>
      <w:r>
        <w:rPr>
          <w:rFonts w:ascii="Calibri" w:cs="Calibri" w:eastAsia="Calibri" w:hAnsi="Calibri"/>
          <w:color w:val="000000"/>
          <w:sz w:val="22"/>
          <w:szCs w:val="22"/>
        </w:rPr>
        <w:t xml:space="preserve">Who performs the work day-to-day, and the partner responsible.</w:t>
      </w:r>
    </w:p>
    <w:sectPr>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2026-07-27T04:50:35.138Z</dcterms:created>
  <dcterms:modified xsi:type="dcterms:W3CDTF">2026-07-27T04:50:35.158Z</dcterms:modified>
</cp:coreProperties>
</file>

<file path=docProps/custom.xml><?xml version="1.0" encoding="utf-8"?>
<Properties xmlns="http://schemas.openxmlformats.org/officeDocument/2006/custom-properties" xmlns:vt="http://schemas.openxmlformats.org/officeDocument/2006/docPropsVTypes"/>
</file>