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24"/>
          <w:szCs w:val="24"/>
        </w:rPr>
        <w:t xml:space="preserve">ADMINISTRATIVE REVIEW TRIBUNAL</w:t>
      </w:r>
    </w:p>
    <w:p>
      <w:pPr>
        <w:spacing w:after="280"/>
        <w:jc w:val="left"/>
      </w:pPr>
      <w:r>
        <w:rPr>
          <w:b/>
          <w:bCs/>
          <w:sz w:val="22"/>
          <w:szCs w:val="22"/>
        </w:rPr>
        <w:t xml:space="preserve">BRISBANE REGISTRY</w:t>
      </w:r>
      <w:r>
        <w:rPr>
          <w:sz w:val="22"/>
          <w:szCs w:val="22"/>
        </w:rPr>
        <w:t xml:space="preserve">					ART No. 2023/3363</w:t>
      </w:r>
    </w:p>
    <w:p>
      <w:pPr>
        <w:spacing w:after="20"/>
        <w:jc w:val="right"/>
      </w:pPr>
      <w:r>
        <w:rPr>
          <w:b/>
          <w:bCs/>
          <w:sz w:val="22"/>
          <w:szCs w:val="22"/>
        </w:rPr>
        <w:t xml:space="preserve">SIMON REID</w:t>
      </w:r>
    </w:p>
    <w:p>
      <w:pPr>
        <w:spacing w:after="220"/>
        <w:jc w:val="right"/>
      </w:pPr>
      <w:r>
        <w:rPr>
          <w:i/>
          <w:iCs/>
          <w:sz w:val="22"/>
          <w:szCs w:val="22"/>
        </w:rPr>
        <w:t xml:space="preserve">Applicant</w:t>
      </w:r>
    </w:p>
    <w:p>
      <w:pPr>
        <w:spacing w:after="80"/>
        <w:jc w:val="left"/>
      </w:pPr>
      <w:r>
        <w:rPr>
          <w:sz w:val="22"/>
          <w:szCs w:val="22"/>
        </w:rPr>
        <w:t xml:space="preserve">and</w:t>
      </w:r>
    </w:p>
    <w:p>
      <w:pPr>
        <w:spacing w:after="20"/>
        <w:jc w:val="right"/>
      </w:pPr>
      <w:r>
        <w:rPr>
          <w:b/>
          <w:bCs/>
          <w:sz w:val="22"/>
          <w:szCs w:val="22"/>
        </w:rPr>
        <w:t xml:space="preserve">COMMISSIONER OF THE NDIS QUALITY AND</w:t>
      </w:r>
    </w:p>
    <w:p>
      <w:pPr>
        <w:spacing w:after="20"/>
        <w:jc w:val="right"/>
      </w:pPr>
      <w:r>
        <w:rPr>
          <w:b/>
          <w:bCs/>
          <w:sz w:val="22"/>
          <w:szCs w:val="22"/>
        </w:rPr>
        <w:t xml:space="preserve">SAFEGUARDS COMMISSION</w:t>
      </w:r>
    </w:p>
    <w:p>
      <w:pPr>
        <w:spacing w:after="360"/>
        <w:jc w:val="right"/>
      </w:pPr>
      <w:r>
        <w:rPr>
          <w:i/>
          <w:iCs/>
          <w:sz w:val="22"/>
          <w:szCs w:val="22"/>
        </w:rPr>
        <w:t xml:space="preserve">Respondent</w:t>
      </w:r>
    </w:p>
    <w:p>
      <w:pPr>
        <w:pBdr>
          <w:top w:val="single" w:color="000000" w:sz="12" w:space="8"/>
          <w:bottom w:val="single" w:color="000000" w:sz="12" w:space="8"/>
        </w:pBdr>
        <w:spacing w:after="80" w:before="120"/>
        <w:jc w:val="center"/>
      </w:pPr>
      <w:r>
        <w:rPr>
          <w:b/>
          <w:bCs/>
          <w:sz w:val="26"/>
          <w:szCs w:val="26"/>
        </w:rPr>
        <w:t xml:space="preserve">APPLICANT'S SUBMISSIONS IN OPPOSITION TO THE</w:t>
      </w:r>
    </w:p>
    <w:p>
      <w:pPr>
        <w:spacing w:after="80"/>
        <w:jc w:val="center"/>
      </w:pPr>
      <w:r>
        <w:rPr>
          <w:b/>
          <w:bCs/>
          <w:sz w:val="26"/>
          <w:szCs w:val="26"/>
        </w:rPr>
        <w:t xml:space="preserve">RESPONDENT'S APPLICATION FOR NON-DISCLOSURE ORDERS</w:t>
      </w:r>
    </w:p>
    <w:p>
      <w:pPr>
        <w:spacing w:after="320"/>
        <w:jc w:val="center"/>
      </w:pPr>
      <w:r>
        <w:rPr>
          <w:i/>
          <w:iCs/>
          <w:sz w:val="22"/>
          <w:szCs w:val="22"/>
        </w:rPr>
        <w:t xml:space="preserve">Section 70(2), Administrative Review Tribunal Act 2024 (Cth) — application dated 7 May 2026</w:t>
      </w:r>
    </w:p>
    <w:p>
      <w:pPr>
        <w:pStyle w:val="Heading1"/>
        <w:spacing w:after="120" w:before="280"/>
      </w:pPr>
      <w:r>
        <w:t xml:space="preserve">A.  Introduction</w:t>
      </w:r>
    </w:p>
    <w:p>
      <w:pPr>
        <w:tabs>
          <w:tab w:val="left" w:pos="720"/>
        </w:tabs>
        <w:spacing w:after="180" w:line="300"/>
        <w:ind w:left="720" w:hanging="720"/>
        <w:jc w:val="both"/>
      </w:pPr>
      <w:r>
        <w:t xml:space="preserve">1.	By application lodged with the Tribunal on 7 May 2026, the Respondent seeks orders under s 70(2) of the Administrative Review Tribunal Act 2024 (Cth) (the ART Act) directing that two documents not be subject to disclosure under s 27 or any other section of the ART Act. The two documents are:</w:t>
      </w:r>
    </w:p>
    <w:p>
      <w:pPr>
        <w:tabs>
          <w:tab w:val="left" w:pos="1440"/>
        </w:tabs>
        <w:spacing w:after="120" w:line="300"/>
        <w:ind w:left="1440" w:hanging="720"/>
        <w:jc w:val="both"/>
      </w:pPr>
      <w:r>
        <w:t xml:space="preserve">(a)	Attachment O to Briefing Note EC22-002103 — described by the Respondent as "a copy of legal advice provided to the Respondent" about the briefing note recommending the issuing of a notice of intention to make a banning order against the Applicant (Notice of Intention Advice); and</w:t>
      </w:r>
    </w:p>
    <w:p>
      <w:pPr>
        <w:tabs>
          <w:tab w:val="left" w:pos="1440"/>
        </w:tabs>
        <w:spacing w:after="120" w:line="300"/>
        <w:ind w:left="1440" w:hanging="720"/>
        <w:jc w:val="both"/>
      </w:pPr>
      <w:r>
        <w:t xml:space="preserve">(b)	Attachment G to Briefing Note EC22-002521 — described by the Respondent as "a copy of legal advice provided to the Respondent" about the briefing note recommending the making of a banning order against the Applicant (Decision Advice).</w:t>
      </w:r>
    </w:p>
    <w:p>
      <w:pPr>
        <w:tabs>
          <w:tab w:val="left" w:pos="720"/>
        </w:tabs>
        <w:spacing w:after="180" w:line="300"/>
        <w:ind w:left="720" w:hanging="720"/>
        <w:jc w:val="both"/>
      </w:pPr>
      <w:r>
        <w:t xml:space="preserve">2.	The application is opposed. The orders sought ought not to be made. The factual context — set out at Section C below — is that the Respondent has voluntarily disclosed three distinct categories of legal-advice content in the original tender bundle filed 13 June 2024 without any claim of privilege. Against that factual background, the application is opposed on four grounds, taken cumulatively:</w:t>
      </w:r>
    </w:p>
    <w:p>
      <w:pPr>
        <w:tabs>
          <w:tab w:val="left" w:pos="1440"/>
        </w:tabs>
        <w:spacing w:after="120" w:line="300"/>
        <w:ind w:left="1440" w:hanging="720"/>
        <w:jc w:val="both"/>
      </w:pPr>
      <w:r>
        <w:t xml:space="preserve">(a)	</w:t>
      </w:r>
      <w:r>
        <w:t xml:space="preserve">first, that the Respondent has waived any legal professional privilege in the Notice of Intention Advice and the Decision Advice by producing the briefing notes in which those documents sit as attachments, in circumstances inconsistent with the maintenance of confidentiality, applying </w:t>
      </w:r>
      <w:r>
        <w:rPr>
          <w:i/>
          <w:iCs/>
        </w:rPr>
        <w:t xml:space="preserve">Mann v Carnell</w:t>
      </w:r>
      <w:r>
        <w:t xml:space="preserve"> (1999) 201 CLR 1 (Ground 1);</w:t>
      </w:r>
    </w:p>
    <w:p>
      <w:pPr>
        <w:tabs>
          <w:tab w:val="left" w:pos="1440"/>
        </w:tabs>
        <w:spacing w:after="120" w:line="300"/>
        <w:ind w:left="1440" w:hanging="720"/>
        <w:jc w:val="both"/>
      </w:pPr>
      <w:r>
        <w:t xml:space="preserve">(b)	</w:t>
      </w:r>
      <w:r>
        <w:t xml:space="preserve">second, that the Respondent's selective production of the briefing notes (and most of their attachments, together with the three categories identified in Section C) while withholding only the two legal-advice attachments operates as a presumption of waiver, applying </w:t>
      </w:r>
      <w:r>
        <w:rPr>
          <w:i/>
          <w:iCs/>
        </w:rPr>
        <w:t xml:space="preserve">Goldberg v Ng</w:t>
      </w:r>
      <w:r>
        <w:t xml:space="preserve"> (1995) 185 CLR 83 (Ground 2);</w:t>
      </w:r>
    </w:p>
    <w:p>
      <w:pPr>
        <w:tabs>
          <w:tab w:val="left" w:pos="1440"/>
        </w:tabs>
        <w:spacing w:after="120" w:line="300"/>
        <w:ind w:left="1440" w:hanging="720"/>
        <w:jc w:val="both"/>
      </w:pPr>
      <w:r>
        <w:t xml:space="preserve">(c)	</w:t>
      </w:r>
      <w:r>
        <w:t xml:space="preserve">third, that by defending in this review the substantive lawfulness of the decisions made on the basis of those briefing notes, the Respondent has put in issue the matters to which the Notice of Intention Advice and the Decision Advice were directed — engaging issue waiver under </w:t>
      </w:r>
      <w:r>
        <w:rPr>
          <w:i/>
          <w:iCs/>
        </w:rPr>
        <w:t xml:space="preserve">DSE (Holdings) Pty Ltd v Intertan Inc</w:t>
      </w:r>
      <w:r>
        <w:t xml:space="preserve"> (2003) 135 FCR 151 and </w:t>
      </w:r>
      <w:r>
        <w:rPr>
          <w:i/>
          <w:iCs/>
        </w:rPr>
        <w:t xml:space="preserve">Bennett v CEO of the Australian Customs Service</w:t>
      </w:r>
      <w:r>
        <w:t xml:space="preserve"> (2004) 140 FCR 101 (Ground 3); and</w:t>
      </w:r>
    </w:p>
    <w:p>
      <w:pPr>
        <w:tabs>
          <w:tab w:val="left" w:pos="1440"/>
        </w:tabs>
        <w:spacing w:after="120" w:line="300"/>
        <w:ind w:left="1440" w:hanging="720"/>
        <w:jc w:val="both"/>
      </w:pPr>
      <w:r>
        <w:t xml:space="preserve">(d)	</w:t>
      </w:r>
      <w:r>
        <w:t xml:space="preserve">fourth, that even if any residual privilege survives the waiver analysis, the s 70(2) discretion should not be exercised in the Respondent's favour having regard to the statutory presumption in favour of disclosure under s 71(2)(c) of the ART Act, the Respondent's continuing disclosure obligations under s 23, and the procedural fairness principle in </w:t>
      </w:r>
      <w:r>
        <w:rPr>
          <w:i/>
          <w:iCs/>
        </w:rPr>
        <w:t xml:space="preserve">VEAL v Minister</w:t>
      </w:r>
      <w:r>
        <w:t xml:space="preserve"> (2005) 225 CLR 88 (Ground 4).</w:t>
      </w:r>
    </w:p>
    <w:p>
      <w:pPr>
        <w:tabs>
          <w:tab w:val="left" w:pos="720"/>
        </w:tabs>
        <w:spacing w:after="180" w:line="300"/>
        <w:ind w:left="720" w:hanging="720"/>
        <w:jc w:val="both"/>
      </w:pPr>
      <w:r>
        <w:t xml:space="preserve">3.	The Applicant invites the Tribunal, at minimum, to require production of the two documents to the Tribunal for inspection before any non-disclosure order is made, and to consider lesser-restrictive alternatives including redacted production.</w:t>
      </w:r>
    </w:p>
    <w:p>
      <w:pPr>
        <w:pStyle w:val="Heading1"/>
        <w:spacing w:after="120" w:before="280"/>
      </w:pPr>
      <w:r>
        <w:t xml:space="preserve">B.  Background and procedural context</w:t>
      </w:r>
    </w:p>
    <w:p>
      <w:pPr>
        <w:tabs>
          <w:tab w:val="left" w:pos="720"/>
        </w:tabs>
        <w:spacing w:after="180" w:line="300"/>
        <w:ind w:left="720" w:hanging="720"/>
        <w:jc w:val="both"/>
      </w:pPr>
      <w:r>
        <w:t xml:space="preserve">4.	The two documents the subject of the application are situated within a documentary record of which the Respondent has now produced the remainder. The procedural history bearing on the application is as follows.</w:t>
      </w:r>
    </w:p>
    <w:p>
      <w:pPr>
        <w:tabs>
          <w:tab w:val="left" w:pos="720"/>
        </w:tabs>
        <w:spacing w:after="180" w:line="300"/>
        <w:ind w:left="720" w:hanging="720"/>
        <w:jc w:val="both"/>
      </w:pPr>
      <w:r>
        <w:t xml:space="preserve">5.	On 13 June 2024, the Respondent filed with the Tribunal a tender bundle in compliance with its then-equivalent obligation under s 37 of the Administrative Appeals Tribunal Act 1975 (Cth). The original tender bundle did not include any of the documents now produced in the 7 May 2026 disclosure.</w:t>
      </w:r>
    </w:p>
    <w:p>
      <w:pPr>
        <w:tabs>
          <w:tab w:val="left" w:pos="720"/>
        </w:tabs>
        <w:spacing w:after="180" w:line="300"/>
        <w:ind w:left="720" w:hanging="720"/>
        <w:jc w:val="both"/>
      </w:pPr>
      <w:r>
        <w:t xml:space="preserve">6.	By Short Supplementary Submissions filed 19 March 2026, the Respondent acknowledged at paragraph 15 that eight categories of documents relating to the Applicant had been omitted from the original tender bundle. Those categories included Briefing Notes EC22-002103, EC22-002429 and EC22-002521 themselves.</w:t>
      </w:r>
    </w:p>
    <w:p>
      <w:pPr>
        <w:tabs>
          <w:tab w:val="left" w:pos="720"/>
        </w:tabs>
        <w:spacing w:after="180" w:line="300"/>
        <w:ind w:left="720" w:hanging="720"/>
        <w:jc w:val="both"/>
      </w:pPr>
      <w:r>
        <w:t xml:space="preserve">7.	By letter dated 7 May 2026, the Respondent provided the Applicant with copies of those documents. The covering letter described the documents as "the briefing notes relating to you personally" (p. 2). Each briefing note was produced together with the substantial majority of its attachments — Attachments 2a to 2zm (and 4a to 4j) — including the entirety of Attachment N to EC22-002103, comprising 33 witness statements.</w:t>
      </w:r>
    </w:p>
    <w:p>
      <w:pPr>
        <w:tabs>
          <w:tab w:val="left" w:pos="720"/>
        </w:tabs>
        <w:spacing w:after="180" w:line="300"/>
        <w:ind w:left="720" w:hanging="720"/>
        <w:jc w:val="both"/>
      </w:pPr>
      <w:r>
        <w:t xml:space="preserve">8.	From that production, the Respondent has withheld:</w:t>
      </w:r>
    </w:p>
    <w:p>
      <w:pPr>
        <w:tabs>
          <w:tab w:val="left" w:pos="1440"/>
        </w:tabs>
        <w:spacing w:after="120" w:line="300"/>
        <w:ind w:left="1440" w:hanging="720"/>
        <w:jc w:val="both"/>
      </w:pPr>
      <w:r>
        <w:t xml:space="preserve">(a)	Attachment O to EC22-002103 — the Notice of Intention Advice;</w:t>
      </w:r>
    </w:p>
    <w:p>
      <w:pPr>
        <w:tabs>
          <w:tab w:val="left" w:pos="1440"/>
        </w:tabs>
        <w:spacing w:after="120" w:line="300"/>
        <w:ind w:left="1440" w:hanging="720"/>
        <w:jc w:val="both"/>
      </w:pPr>
      <w:r>
        <w:t xml:space="preserve">(b)	Attachment G to EC22-002521 — the Decision Advice;</w:t>
      </w:r>
    </w:p>
    <w:p>
      <w:pPr>
        <w:tabs>
          <w:tab w:val="left" w:pos="1440"/>
        </w:tabs>
        <w:spacing w:after="120" w:line="300"/>
        <w:ind w:left="1440" w:hanging="720"/>
        <w:jc w:val="both"/>
      </w:pPr>
      <w:r>
        <w:t xml:space="preserve">(c)	Attachment P to EC22-002103 — described as an "internal email chain between employees of the Commission which we have assessed as not being relevant" (no LPP claim); and</w:t>
      </w:r>
    </w:p>
    <w:p>
      <w:pPr>
        <w:tabs>
          <w:tab w:val="left" w:pos="1440"/>
        </w:tabs>
        <w:spacing w:after="120" w:line="300"/>
        <w:ind w:left="1440" w:hanging="720"/>
        <w:jc w:val="both"/>
      </w:pPr>
      <w:r>
        <w:t xml:space="preserve">(d)	Attachment J to both briefing notes — the Tactical Intelligence Report dated 18 August 2022 (the subject of separate non-disclosure orders made by Deputy President Mischin on 26 July 2024).</w:t>
      </w:r>
    </w:p>
    <w:p>
      <w:pPr>
        <w:tabs>
          <w:tab w:val="left" w:pos="720"/>
        </w:tabs>
        <w:spacing w:after="180" w:line="300"/>
        <w:ind w:left="720" w:hanging="720"/>
        <w:jc w:val="both"/>
      </w:pPr>
      <w:r>
        <w:t xml:space="preserve">9.	The Respondent has not made any claim of legal professional privilege over the briefing notes themselves, or over any attachment other than Attachments O and G. The Respondent has, however, asked the Tribunal to treat Attachments O and G as the documents the decision-maker had before him when making the decisions under review: that they were part of the briefing notes is established on the face of the documents the Respondent has produced.</w:t>
      </w:r>
    </w:p>
    <w:p>
      <w:pPr>
        <w:pStyle w:val="Heading1"/>
        <w:spacing w:after="120" w:before="280"/>
      </w:pPr>
      <w:r>
        <w:t xml:space="preserve">C.  The Respondent has already disclosed three categories of legal-advice content</w:t>
      </w:r>
    </w:p>
    <w:p>
      <w:pPr>
        <w:tabs>
          <w:tab w:val="left" w:pos="720"/>
        </w:tabs>
        <w:spacing w:after="180" w:line="300"/>
        <w:ind w:left="720" w:hanging="720"/>
        <w:jc w:val="both"/>
      </w:pPr>
      <w:r>
        <w:t xml:space="preserve">10.	Before turning to the legal framework, the Applicant identifies, on the face of the original tender bundle filed with the Tribunal on 13 June 2024, three distinct categories of legal-advice content that the Respondent has voluntarily disclosed and over which no claim of legal professional privilege has been made. The existence of these three categories is decisive of the waiver analysis under Grounds 1 to 3 below.</w:t>
      </w:r>
    </w:p>
    <w:p>
      <w:pPr>
        <w:tabs>
          <w:tab w:val="left" w:pos="720"/>
        </w:tabs>
        <w:spacing w:after="180" w:line="300"/>
        <w:ind w:left="720" w:hanging="720"/>
        <w:jc w:val="both"/>
      </w:pPr>
      <w:r>
        <w:t xml:space="preserve">11.	Category 1 — Briefing note EC22-002000. The 19 October 2022 executive brief from the Compliance team to Mr Halton, recommending the suspension of FFG and notices of intention to revoke its registration and to ban Ms Vida Reid, was included in the original tender bundle as document T9. At paragraphs 3.1 and 3.2 of that brief, the decision-maker is informed that:</w:t>
      </w:r>
    </w:p>
    <w:p>
      <w:pPr>
        <w:spacing w:after="160" w:before="100" w:line="300"/>
        <w:ind w:left="1080" w:right="720"/>
        <w:jc w:val="both"/>
      </w:pPr>
      <w:r>
        <w:rPr>
          <w:i/>
          <w:iCs/>
        </w:rPr>
        <w:t xml:space="preserve">"Documents were submitted to legal to seek confirmation regarding the drafted banning order and revocations documents. The input from Legal Services Branch is included at Attachment 55. Upon receipt of that advice the Compliance team sought to address the concerns raised."</w:t>
      </w:r>
    </w:p>
    <w:p>
      <w:pPr>
        <w:tabs>
          <w:tab w:val="left" w:pos="720"/>
        </w:tabs>
        <w:spacing w:after="180" w:line="300"/>
        <w:ind w:left="720" w:hanging="720"/>
        <w:jc w:val="both"/>
      </w:pPr>
      <w:r>
        <w:t xml:space="preserve">12.	The attachment list on page 6 of that brief expressly identifies:</w:t>
      </w:r>
    </w:p>
    <w:p>
      <w:pPr>
        <w:spacing w:after="160" w:before="100" w:line="300"/>
        <w:ind w:left="1080" w:right="720"/>
        <w:jc w:val="both"/>
      </w:pPr>
      <w:r>
        <w:rPr>
          <w:i/>
          <w:iCs/>
        </w:rPr>
        <w:t xml:space="preserve">"Attachment 55_LEX 1602 — Forward Focused Group &amp; Vida Reid — revocation and banning order — LSB review and advice [SEC=OFFICIAL:Sensitive, ACCESS=Legal-Privilege]"</w:t>
      </w:r>
    </w:p>
    <w:p>
      <w:pPr>
        <w:tabs>
          <w:tab w:val="left" w:pos="720"/>
        </w:tabs>
        <w:spacing w:after="180" w:line="300"/>
        <w:ind w:left="720" w:hanging="720"/>
        <w:jc w:val="both"/>
      </w:pPr>
      <w:r>
        <w:t xml:space="preserve">13.	By paragraph 3.4 of the same brief, the decision-maker is further informed that:</w:t>
      </w:r>
    </w:p>
    <w:p>
      <w:pPr>
        <w:spacing w:after="160" w:before="100" w:line="300"/>
        <w:ind w:left="1080" w:right="720"/>
        <w:jc w:val="both"/>
      </w:pPr>
      <w:r>
        <w:rPr>
          <w:i/>
          <w:iCs/>
        </w:rPr>
        <w:t xml:space="preserve">"a considerations document (Attachment 1D) has been generated to clearly separate information being used to support a contravention from information being used to support a 'state of mind'."</w:t>
      </w:r>
    </w:p>
    <w:p>
      <w:pPr>
        <w:tabs>
          <w:tab w:val="left" w:pos="720"/>
        </w:tabs>
        <w:spacing w:after="180" w:line="300"/>
        <w:ind w:left="720" w:hanging="720"/>
        <w:jc w:val="both"/>
      </w:pPr>
      <w:r>
        <w:t xml:space="preserve">14.	Three features of that disclosure bear on the present application. First, the substance of the legal advice received ("the input from Legal Services Branch") is referenced in the brief in terms that make clear the Compliance team revised its proposed approach in response to it. Second, the file number and security classification of the advice (LEX 1602; SEC=OFFICIAL:Sensitive, ACCESS=Legal-Privilege) are disclosed on the face of the brief. Third, the considerations document at Attachment 1D — which has itself been included in the tender bundle as document T9.5 — is, on the brief's own description, a working product responsive to the legal advice received. The Respondent has not made any application under s 70 (or otherwise) for non-disclosure of any of those matters.</w:t>
      </w:r>
    </w:p>
    <w:p>
      <w:pPr>
        <w:tabs>
          <w:tab w:val="left" w:pos="720"/>
        </w:tabs>
        <w:spacing w:after="180" w:line="300"/>
        <w:ind w:left="720" w:hanging="720"/>
        <w:jc w:val="both"/>
      </w:pPr>
      <w:r>
        <w:t xml:space="preserve">15.	Category 2 — The SL1 and SL2 tracked-change comments. The original tender bundle also contains a draft response letter from the original decision-maker to the Applicant's then-solicitors (Tom &amp; Co Legal Pty Ltd) dated 15 November 2022, with Microsoft Word tracked-change comments by author "SL" visible on the face of the document. SL is Ms Sian Leathem, who was at the time the senior officer subsequently appointed as the delegate for both internal review decisions of 21 April 2023. Two of those comments — designated SL1 and SL2 — comprise legal-advice content. Comment SL1 reads:</w:t>
      </w:r>
    </w:p>
    <w:p>
      <w:pPr>
        <w:spacing w:after="160" w:before="100" w:line="300"/>
        <w:ind w:left="1080" w:right="720"/>
        <w:jc w:val="both"/>
      </w:pPr>
      <w:r>
        <w:rPr>
          <w:i/>
          <w:iCs/>
        </w:rPr>
        <w:t xml:space="preserve">"Noting the previous advice received from the AGS, and as discussed previously, we recommend providing the requested information. This approach limits the legal risk of procedural fairness being relied upon as grounds to challenge the decision. Please see our covering email for further explanation. Should you decide to accept these risks, we recommend outlining to Philip, alongside this letter, the reasons you consider he may be satisfied that FFG/Ms Reid have sufficient information to make submissions."</w:t>
      </w:r>
    </w:p>
    <w:p>
      <w:pPr>
        <w:tabs>
          <w:tab w:val="left" w:pos="720"/>
        </w:tabs>
        <w:spacing w:after="180" w:line="300"/>
        <w:ind w:left="720" w:hanging="720"/>
        <w:jc w:val="both"/>
      </w:pPr>
      <w:r>
        <w:t xml:space="preserve">16.	Comment SL2 reads:</w:t>
      </w:r>
    </w:p>
    <w:p>
      <w:pPr>
        <w:spacing w:after="160" w:before="100" w:line="300"/>
        <w:ind w:left="1080" w:right="720"/>
        <w:jc w:val="both"/>
      </w:pPr>
      <w:r>
        <w:rPr>
          <w:i/>
          <w:iCs/>
        </w:rPr>
        <w:t xml:space="preserve">"We note that LSB did not review the suspension aspect of the original briefing package. Given that FFG have since applied for internal review of the decision to suspend, should you plan to impose a further suspension, we are happy to provide advice on how to address any procedural fairness issues."</w:t>
      </w:r>
    </w:p>
    <w:p>
      <w:pPr>
        <w:tabs>
          <w:tab w:val="left" w:pos="720"/>
        </w:tabs>
        <w:spacing w:after="180" w:line="300"/>
        <w:ind w:left="720" w:hanging="720"/>
        <w:jc w:val="both"/>
      </w:pPr>
      <w:r>
        <w:t xml:space="preserve">17.	Both comments are advice content. Comment SL1 expressly references "previous advice received from the AGS" — the firm now applying for non-disclosure under s 70 in this proceeding — and articulates the substance of that advice (a recommendation as to disclosure of information, framed by reference to "legal risk" of "procedural fairness being relied upon as grounds to challenge the decision"). Comment SL2 records the boundary of LSB review of a briefing package and offers further legal advice on procedural fairness in respect of any further suspension. Both comments were retained on the face of the draft letter as included in the tender bundle. Neither has been redacted. No claim of privilege has been made over either.</w:t>
      </w:r>
    </w:p>
    <w:p>
      <w:pPr>
        <w:tabs>
          <w:tab w:val="left" w:pos="720"/>
        </w:tabs>
        <w:spacing w:after="180" w:line="300"/>
        <w:ind w:left="720" w:hanging="720"/>
        <w:jc w:val="both"/>
      </w:pPr>
      <w:r>
        <w:t xml:space="preserve">18.	Category 3 — The Attachment 1D considerations document. The tender bundle includes, as document T9.5, the considerations document referenced at paragraph 3.4 of EC22-002000 (extracted at paragraph 13 above). The function of that document — separating evidence relevant to contravention from evidence relevant to state of mind — is responsive to legal advice on the elements of the statutory contravention test. The Respondent has included the considerations document in the tender bundle without any claim of privilege.</w:t>
      </w:r>
    </w:p>
    <w:p>
      <w:pPr>
        <w:tabs>
          <w:tab w:val="left" w:pos="720"/>
        </w:tabs>
        <w:spacing w:after="180" w:line="300"/>
        <w:ind w:left="720" w:hanging="720"/>
        <w:jc w:val="both"/>
      </w:pPr>
      <w:r>
        <w:t xml:space="preserve">19.	Each of the three categories above is legal-advice content disclosed by the Respondent in the original tender bundle without any claim of privilege. The present s 70 application seeks orders in respect of two further documents (Attachments O and G) which the Respondent characterises as also legal advice on the proposed banning decisions concerning the Applicant. The inconsistency between (a) the voluntary disclosure of the three categories identified above and (b) the formal LPP claim now made over Attachments O and G is on the face of the materials the Respondent itself produced. That factual position is decisive of the legal analysis that follows.</w:t>
      </w:r>
    </w:p>
    <w:p>
      <w:pPr>
        <w:pStyle w:val="Heading1"/>
        <w:spacing w:after="120" w:before="280"/>
      </w:pPr>
      <w:r>
        <w:t xml:space="preserve">D.  The applicable framework</w:t>
      </w:r>
    </w:p>
    <w:p>
      <w:pPr>
        <w:tabs>
          <w:tab w:val="left" w:pos="720"/>
        </w:tabs>
        <w:spacing w:after="180" w:line="300"/>
        <w:ind w:left="720" w:hanging="720"/>
        <w:jc w:val="both"/>
      </w:pPr>
      <w:r>
        <w:t xml:space="preserve">20.	Section 23 of the ART Act imposes on the decision-maker a positive obligation to lodge with the Tribunal every document in the decision-maker's possession or control that is relevant to the review of the decision. That obligation is the cornerstone of the merits review jurisdiction; without it, the Tribunal could not perform its function of making the correct or preferable decision under Shi v Migration Agents Registration Authority (2008) 235 CLR 286.</w:t>
      </w:r>
    </w:p>
    <w:p>
      <w:pPr>
        <w:tabs>
          <w:tab w:val="left" w:pos="720"/>
        </w:tabs>
        <w:spacing w:after="180" w:line="300"/>
        <w:ind w:left="720" w:hanging="720"/>
        <w:jc w:val="both"/>
      </w:pPr>
      <w:r>
        <w:t xml:space="preserve">21.	Section 71(2)(c) of the ART Act provides that documents lodged with the Tribunal under s 23 must be disclosed to the parties unless the Tribunal orders otherwise. That section creates a statutory presumption in favour of disclosure.</w:t>
      </w:r>
    </w:p>
    <w:p>
      <w:pPr>
        <w:tabs>
          <w:tab w:val="left" w:pos="720"/>
        </w:tabs>
        <w:spacing w:after="180" w:line="300"/>
        <w:ind w:left="720" w:hanging="720"/>
        <w:jc w:val="both"/>
      </w:pPr>
      <w:r>
        <w:t xml:space="preserve">22.	Section 70(2) confers a discretion on the Tribunal to override the s 71(2)(c) presumption in particular cases. The discretion is to be exercised consistently with the objects of the ART Act, which include making accessible, fair, just, economical, informal and quick reviews of administrative decisions: s 9. Section 70 is not at large; it is a tool to be deployed where the public interest in non-disclosure outweighs the public interest in disclosure.</w:t>
      </w:r>
    </w:p>
    <w:p>
      <w:pPr>
        <w:tabs>
          <w:tab w:val="left" w:pos="720"/>
        </w:tabs>
        <w:spacing w:after="180" w:line="300"/>
        <w:ind w:left="720" w:hanging="720"/>
        <w:jc w:val="both"/>
      </w:pPr>
      <w:r>
        <w:t xml:space="preserve">23.	Where a non-disclosure application is based on a claim of legal professional privilege, two questions arise. First, whether privilege has been established. Second, even if privilege is established, whether the discretion under s 70(2) should be exercised to make the order sought. Each question is addressed below.</w:t>
      </w:r>
    </w:p>
    <w:p>
      <w:pPr>
        <w:pStyle w:val="Heading1"/>
        <w:spacing w:after="120" w:before="280"/>
      </w:pPr>
      <w:r>
        <w:t xml:space="preserve">E.  Ground 1 — Waiver by inconsistency under Mann v Carnell</w:t>
      </w:r>
    </w:p>
    <w:p>
      <w:pPr>
        <w:tabs>
          <w:tab w:val="left" w:pos="720"/>
        </w:tabs>
        <w:spacing w:after="180" w:line="300"/>
        <w:ind w:left="720" w:hanging="720"/>
        <w:jc w:val="both"/>
      </w:pPr>
      <w:r>
        <w:t xml:space="preserve">24.	</w:t>
      </w:r>
      <w:r>
        <w:t xml:space="preserve">In </w:t>
      </w:r>
      <w:r>
        <w:rPr>
          <w:i/>
          <w:iCs/>
        </w:rPr>
        <w:t xml:space="preserve">Mann v Carnell</w:t>
      </w:r>
      <w:r>
        <w:t xml:space="preserve"> (1999) 201 CLR 1 at [29] the High Court held that the principle governing waiver is one of inconsistency between the conduct of the holder of the privilege and the maintenance of the confidentiality which the privilege is intended to protect. The relevant inconsistency is to be determined "where necessary informed by considerations of fairness". Waiver does not depend on subjective intention; it depends on the inconsistency the court (or tribunal) perceives between the conduct and the continued maintenance of the privilege.</w:t>
      </w:r>
    </w:p>
    <w:p>
      <w:pPr>
        <w:tabs>
          <w:tab w:val="left" w:pos="720"/>
        </w:tabs>
        <w:spacing w:after="180" w:line="300"/>
        <w:ind w:left="720" w:hanging="720"/>
        <w:jc w:val="both"/>
      </w:pPr>
      <w:r>
        <w:t xml:space="preserve">25.	The inconsistency in the present matter is acute, on four converging bases.</w:t>
      </w:r>
    </w:p>
    <w:p>
      <w:pPr>
        <w:tabs>
          <w:tab w:val="left" w:pos="720"/>
        </w:tabs>
        <w:spacing w:after="180" w:line="300"/>
        <w:ind w:left="720" w:hanging="720"/>
        <w:jc w:val="both"/>
      </w:pPr>
      <w:r>
        <w:t xml:space="preserve">26.	First, the three categories of legal-advice content identified in Section C above have been voluntarily disclosed by the Respondent in the original tender bundle without any claim of privilege. The Respondent has chosen to put into the record (a) the brief that substantively relies on the LEX 1602 legal advice, (b) the SL1 and SL2 comments that are themselves legal-advice content (including content referencing prior AGS advice), and (c) the considerations document responsive to that legal advice. To now claim privilege over comparable legal-advice content attached to parallel briefs — the Notice of Intention Advice and the Decision Advice in respect of the case against the Applicant — is inconsistent with the maintenance of any confidentiality the Respondent might have asserted.</w:t>
      </w:r>
    </w:p>
    <w:p>
      <w:pPr>
        <w:tabs>
          <w:tab w:val="left" w:pos="720"/>
        </w:tabs>
        <w:spacing w:after="180" w:line="300"/>
        <w:ind w:left="720" w:hanging="720"/>
        <w:jc w:val="both"/>
      </w:pPr>
      <w:r>
        <w:t xml:space="preserve">27.	</w:t>
      </w:r>
      <w:r>
        <w:t xml:space="preserve">Second, the Notice of Intention Advice and the Decision Advice are not separable from the briefing notes in which they sit. They are described, in the Respondent's own letter of 7 May 2026, as Attachment O to EC22-002103 and Attachment G to EC22-002521 respectively. They are bound into the same brief structure. The Respondent has produced the briefing notes; it cannot now contend that the attachments to those briefing notes are separable documents whose disclosure may be controlled discretely. This case is materially distinguishable from </w:t>
      </w:r>
      <w:r>
        <w:rPr>
          <w:i/>
          <w:iCs/>
        </w:rPr>
        <w:t xml:space="preserve">ASIC v Southcorp Ltd</w:t>
      </w:r>
      <w:r>
        <w:t xml:space="preserve"> (2003) 130 FCR 406, where the privileged material was a discrete document that happened to be physically collated within a larger production; here the brief itself incorporates the advice as an attachment numbered within the brief's own structure.</w:t>
      </w:r>
    </w:p>
    <w:p>
      <w:pPr>
        <w:tabs>
          <w:tab w:val="left" w:pos="720"/>
        </w:tabs>
        <w:spacing w:after="180" w:line="300"/>
        <w:ind w:left="720" w:hanging="720"/>
        <w:jc w:val="both"/>
      </w:pPr>
      <w:r>
        <w:t xml:space="preserve">28.	Third, the Respondent is, in this review, defending the substantive decisions made on the basis of those briefing notes. The briefing notes are the record of the decision-maker's reasoning. The legal advice attached to each brief was, on its face, advice to the decision-maker on the matters with which the brief is concerned. The Applicant infers (and respectfully submits the inference is open) that the legal advice addressed the matters the decision-maker was required to decide — namely, whether to issue the notice of intention to ban, and whether to make the banning order. Where a party puts in evidence the record of a decision-maker's reasoning while withholding contemporaneous legal advice that bears on the same questions, the maintenance of privilege in that advice is inconsistent with the use being made of the record.</w:t>
      </w:r>
    </w:p>
    <w:p>
      <w:pPr>
        <w:tabs>
          <w:tab w:val="left" w:pos="720"/>
        </w:tabs>
        <w:spacing w:after="180" w:line="300"/>
        <w:ind w:left="720" w:hanging="720"/>
        <w:jc w:val="both"/>
      </w:pPr>
      <w:r>
        <w:t xml:space="preserve">29.	</w:t>
      </w:r>
      <w:r>
        <w:t xml:space="preserve">Fourth, the Respondent has positively relied on the briefing notes as the basis for the lawfulness of the decisions under review. By producing the briefing notes in defence of the decisions, the Respondent has invited the Tribunal to assess the decision-maker's analysis on the strength of those documents. The legal-advice attachments form part of that analysis. As the Full Federal Court held in </w:t>
      </w:r>
      <w:r>
        <w:rPr>
          <w:i/>
          <w:iCs/>
        </w:rPr>
        <w:t xml:space="preserve">Bennett v CEO of the Australian Customs Service</w:t>
      </w:r>
      <w:r>
        <w:t xml:space="preserve"> (2004) 140 FCR 101 at [68], "a party cannot deploy the substance or effect of legal advice while at the same time maintaining privilege in the advice itself". The same principle applies here, with adaptation: a decision-maker cannot deploy a brief that incorporates legal advice while maintaining privilege in the advice itself — particularly where, as in the present case, the Respondent has elsewhere disclosed comparable legal-advice content without privilege claim.</w:t>
      </w:r>
    </w:p>
    <w:p>
      <w:pPr>
        <w:tabs>
          <w:tab w:val="left" w:pos="720"/>
        </w:tabs>
        <w:spacing w:after="180" w:line="300"/>
        <w:ind w:left="720" w:hanging="720"/>
        <w:jc w:val="both"/>
      </w:pPr>
      <w:r>
        <w:t xml:space="preserve">30.	The conclusion that waiver has occurred is fortified by the comprehensive selectivity of the Respondent's privilege claim. The Respondent has not invoked privilege over the briefing notes themselves, over the Statement of Material Facts of 19 October 2022, over the sworn statements of Regali, Benediktsson, Smith, or any of the other 30 witness statements collected in Attachment N. The Respondent has not invoked privilege over the LEX 1602 advice references in EC22-002000, over the SL1 and SL2 tracked-change comments, or over the considerations document. The Respondent has invoked privilege only over the two documents in this application. That selectivity is, in itself, a feature of inconsistency that supports waiver.</w:t>
      </w:r>
    </w:p>
    <w:p>
      <w:pPr>
        <w:pStyle w:val="Heading1"/>
        <w:spacing w:after="120" w:before="280"/>
      </w:pPr>
      <w:r>
        <w:t xml:space="preserve">F.  Ground 2 — Selective disclosure under Goldberg v Ng</w:t>
      </w:r>
    </w:p>
    <w:p>
      <w:pPr>
        <w:tabs>
          <w:tab w:val="left" w:pos="720"/>
        </w:tabs>
        <w:spacing w:after="180" w:line="300"/>
        <w:ind w:left="720" w:hanging="720"/>
        <w:jc w:val="both"/>
      </w:pPr>
      <w:r>
        <w:t xml:space="preserve">31.	</w:t>
      </w:r>
      <w:r>
        <w:t xml:space="preserve">In </w:t>
      </w:r>
      <w:r>
        <w:rPr>
          <w:i/>
          <w:iCs/>
        </w:rPr>
        <w:t xml:space="preserve">Goldberg v Ng</w:t>
      </w:r>
      <w:r>
        <w:t xml:space="preserve"> (1995) 185 CLR 83 the High Court held that a party who deploys selected privileged material while withholding related privileged material may be taken to have waived privilege in the withheld material. The doctrine is concerned with the unfairness of allowing a holder of privilege to deploy parts of a body of advice tactically while preserving the parts unfavourable to its case.</w:t>
      </w:r>
    </w:p>
    <w:p>
      <w:pPr>
        <w:tabs>
          <w:tab w:val="left" w:pos="720"/>
        </w:tabs>
        <w:spacing w:after="180" w:line="300"/>
        <w:ind w:left="720" w:hanging="720"/>
        <w:jc w:val="both"/>
      </w:pPr>
      <w:r>
        <w:t xml:space="preserve">32.	The Respondent's production over the period from June 2024 to May 2026 is a selective disclosure of precisely the kind to which the Goldberg v Ng doctrine is directed. The Respondent has produced, without restriction:</w:t>
      </w:r>
    </w:p>
    <w:p>
      <w:pPr>
        <w:tabs>
          <w:tab w:val="left" w:pos="1440"/>
        </w:tabs>
        <w:spacing w:after="120" w:line="300"/>
        <w:ind w:left="1440" w:hanging="720"/>
        <w:jc w:val="both"/>
      </w:pPr>
      <w:r>
        <w:t xml:space="preserve">(a)	the briefing notes recommending the notice of intention and the banning order;</w:t>
      </w:r>
    </w:p>
    <w:p>
      <w:pPr>
        <w:tabs>
          <w:tab w:val="left" w:pos="1440"/>
        </w:tabs>
        <w:spacing w:after="120" w:line="300"/>
        <w:ind w:left="1440" w:hanging="720"/>
        <w:jc w:val="both"/>
      </w:pPr>
      <w:r>
        <w:t xml:space="preserve">(b)	the witness statements relied on by the decision-maker;</w:t>
      </w:r>
    </w:p>
    <w:p>
      <w:pPr>
        <w:tabs>
          <w:tab w:val="left" w:pos="1440"/>
        </w:tabs>
        <w:spacing w:after="120" w:line="300"/>
        <w:ind w:left="1440" w:hanging="720"/>
        <w:jc w:val="both"/>
      </w:pPr>
      <w:r>
        <w:t xml:space="preserve">(c)	the Statement of Material Facts lodged in the criminal proceedings against Ms Vida Reid;</w:t>
      </w:r>
    </w:p>
    <w:p>
      <w:pPr>
        <w:tabs>
          <w:tab w:val="left" w:pos="1440"/>
        </w:tabs>
        <w:spacing w:after="120" w:line="300"/>
        <w:ind w:left="1440" w:hanging="720"/>
        <w:jc w:val="both"/>
      </w:pPr>
      <w:r>
        <w:t xml:space="preserve">(d)	the ASIC Company Extracts;</w:t>
      </w:r>
    </w:p>
    <w:p>
      <w:pPr>
        <w:tabs>
          <w:tab w:val="left" w:pos="1440"/>
        </w:tabs>
        <w:spacing w:after="120" w:line="300"/>
        <w:ind w:left="1440" w:hanging="720"/>
        <w:jc w:val="both"/>
      </w:pPr>
      <w:r>
        <w:t xml:space="preserve">(e)	the internal correspondence between the original decision-maker and the Applicant's then-solicitors;</w:t>
      </w:r>
    </w:p>
    <w:p>
      <w:pPr>
        <w:tabs>
          <w:tab w:val="left" w:pos="1440"/>
        </w:tabs>
        <w:spacing w:after="120" w:line="300"/>
        <w:ind w:left="1440" w:hanging="720"/>
        <w:jc w:val="both"/>
      </w:pPr>
      <w:r>
        <w:t xml:space="preserve">(f)	the Cassandra Burke statement of 16 February 2023;</w:t>
      </w:r>
    </w:p>
    <w:p>
      <w:pPr>
        <w:tabs>
          <w:tab w:val="left" w:pos="1440"/>
        </w:tabs>
        <w:spacing w:after="120" w:line="300"/>
        <w:ind w:left="1440" w:hanging="720"/>
        <w:jc w:val="both"/>
      </w:pPr>
      <w:r>
        <w:t xml:space="preserve">(g)	the EC22-002000 brief, with its express references to legal advice received and the substantive impact of that advice on the Compliance team's proposed approach;</w:t>
      </w:r>
    </w:p>
    <w:p>
      <w:pPr>
        <w:tabs>
          <w:tab w:val="left" w:pos="1440"/>
        </w:tabs>
        <w:spacing w:after="120" w:line="300"/>
        <w:ind w:left="1440" w:hanging="720"/>
        <w:jc w:val="both"/>
      </w:pPr>
      <w:r>
        <w:t xml:space="preserve">(h)	the SL1 and SL2 tracked-change comments on the draft 15 November 2022 letter, containing legal-advice content including references to prior AGS advice; and</w:t>
      </w:r>
    </w:p>
    <w:p>
      <w:pPr>
        <w:tabs>
          <w:tab w:val="left" w:pos="1440"/>
        </w:tabs>
        <w:spacing w:after="120" w:line="300"/>
        <w:ind w:left="1440" w:hanging="720"/>
        <w:jc w:val="both"/>
      </w:pPr>
      <w:r>
        <w:t xml:space="preserve">(i)	the considerations document at Attachment 1D, generated in response to legal advice on the elements of the statutory contravention test.</w:t>
      </w:r>
    </w:p>
    <w:p>
      <w:pPr>
        <w:tabs>
          <w:tab w:val="left" w:pos="720"/>
        </w:tabs>
        <w:spacing w:after="180" w:line="300"/>
        <w:ind w:left="720" w:hanging="720"/>
        <w:jc w:val="both"/>
      </w:pPr>
      <w:r>
        <w:t xml:space="preserve">33.	The Respondent has chosen, from that universe of material, to claim privilege over two documents only. The Applicant is entitled to infer that the documents withheld are the only documents in the Respondent's record that bear on the lawfulness of the decisions in a manner unfavourable to the Respondent's defence. That inference is open at the gateway and the Respondent has provided no material rebutting it.</w:t>
      </w:r>
    </w:p>
    <w:p>
      <w:pPr>
        <w:tabs>
          <w:tab w:val="left" w:pos="720"/>
        </w:tabs>
        <w:spacing w:after="180" w:line="300"/>
        <w:ind w:left="720" w:hanging="720"/>
        <w:jc w:val="both"/>
      </w:pPr>
      <w:r>
        <w:t xml:space="preserve">34.	The Goldberg v Ng analysis does not require the Applicant to prove the content of the withheld advice. It requires the Applicant to identify the selective nature of the disclosure and the tactical interest the selectivity advances. Both are made out on the face of the Respondent's 7 May 2026 letter and on the face of the three categories of already-disclosed advice content identified in Section C above.</w:t>
      </w:r>
    </w:p>
    <w:p>
      <w:pPr>
        <w:pStyle w:val="Heading1"/>
        <w:spacing w:after="120" w:before="280"/>
      </w:pPr>
      <w:r>
        <w:t xml:space="preserve">G.  Ground 3 — Issue waiver under DSE (Holdings)</w:t>
      </w:r>
    </w:p>
    <w:p>
      <w:pPr>
        <w:tabs>
          <w:tab w:val="left" w:pos="720"/>
        </w:tabs>
        <w:spacing w:after="180" w:line="300"/>
        <w:ind w:left="720" w:hanging="720"/>
        <w:jc w:val="both"/>
      </w:pPr>
      <w:r>
        <w:t xml:space="preserve">35.	</w:t>
      </w:r>
      <w:r>
        <w:t xml:space="preserve">Issue waiver arises where a party puts in issue a matter on which legal advice was sought and received, in circumstances where the advice goes to the very questions the tribunal or court is asked to determine. The principle is articulated in </w:t>
      </w:r>
      <w:r>
        <w:rPr>
          <w:i/>
          <w:iCs/>
        </w:rPr>
        <w:t xml:space="preserve">DSE (Holdings) Pty Ltd v Intertan Inc</w:t>
      </w:r>
      <w:r>
        <w:t xml:space="preserve"> (2003) 135 FCR 151 at [58]–[59] and in </w:t>
      </w:r>
      <w:r>
        <w:rPr>
          <w:i/>
          <w:iCs/>
        </w:rPr>
        <w:t xml:space="preserve">Hong Kong Bank of Australia v Murphy</w:t>
      </w:r>
      <w:r>
        <w:t xml:space="preserve"> (1992) 28 NSWLR 512 at 522.</w:t>
      </w:r>
    </w:p>
    <w:p>
      <w:pPr>
        <w:tabs>
          <w:tab w:val="left" w:pos="720"/>
        </w:tabs>
        <w:spacing w:after="180" w:line="300"/>
        <w:ind w:left="720" w:hanging="720"/>
        <w:jc w:val="both"/>
      </w:pPr>
      <w:r>
        <w:t xml:space="preserve">36.	By defending the banning orders in this review, the Respondent has put in issue, relevantly:</w:t>
      </w:r>
    </w:p>
    <w:p>
      <w:pPr>
        <w:tabs>
          <w:tab w:val="left" w:pos="1440"/>
        </w:tabs>
        <w:spacing w:after="120" w:line="300"/>
        <w:ind w:left="1440" w:hanging="720"/>
        <w:jc w:val="both"/>
      </w:pPr>
      <w:r>
        <w:t xml:space="preserve">(a)	whether the decision-maker reasonably believed the Applicant to be unsuitable to be involved in the provision of supports or services within the meaning of s 73ZN(2)(a)(iii) of the National Disability Insurance Scheme Act 2013 (Cth);</w:t>
      </w:r>
    </w:p>
    <w:p>
      <w:pPr>
        <w:tabs>
          <w:tab w:val="left" w:pos="1440"/>
        </w:tabs>
        <w:spacing w:after="120" w:line="300"/>
        <w:ind w:left="1440" w:hanging="720"/>
        <w:jc w:val="both"/>
      </w:pPr>
      <w:r>
        <w:t xml:space="preserve">(b)	whether the materials before the decision-maker supported that reasonable belief;</w:t>
      </w:r>
    </w:p>
    <w:p>
      <w:pPr>
        <w:tabs>
          <w:tab w:val="left" w:pos="1440"/>
        </w:tabs>
        <w:spacing w:after="120" w:line="300"/>
        <w:ind w:left="1440" w:hanging="720"/>
        <w:jc w:val="both"/>
      </w:pPr>
      <w:r>
        <w:t xml:space="preserve">(c)	whether the decision-maker undertook the individualised assessment of the Applicant's conduct, knowledge and culpability that the statutory test requires; and</w:t>
      </w:r>
    </w:p>
    <w:p>
      <w:pPr>
        <w:tabs>
          <w:tab w:val="left" w:pos="1440"/>
        </w:tabs>
        <w:spacing w:after="120" w:line="300"/>
        <w:ind w:left="1440" w:hanging="720"/>
        <w:jc w:val="both"/>
      </w:pPr>
      <w:r>
        <w:t xml:space="preserve">(d)	whether the decision-maker addressed the materials before him in a manner consistent with the procedural fairness obligations the decision-making power attracts.</w:t>
      </w:r>
    </w:p>
    <w:p>
      <w:pPr>
        <w:tabs>
          <w:tab w:val="left" w:pos="720"/>
        </w:tabs>
        <w:spacing w:after="180" w:line="300"/>
        <w:ind w:left="720" w:hanging="720"/>
        <w:jc w:val="both"/>
      </w:pPr>
      <w:r>
        <w:t xml:space="preserve">37.	The Notice of Intention Advice and the Decision Advice, being advice provided in connection with the briefing notes for the very decisions under review, were addressed to the matters in (a) to (d) above or some of them. The advice goes to the very questions the Tribunal must determine. In those circumstances, privilege in the advice has been waived under the issue-waiver doctrine.</w:t>
      </w:r>
    </w:p>
    <w:p>
      <w:pPr>
        <w:tabs>
          <w:tab w:val="left" w:pos="720"/>
        </w:tabs>
        <w:spacing w:after="180" w:line="300"/>
        <w:ind w:left="720" w:hanging="720"/>
        <w:jc w:val="both"/>
      </w:pPr>
      <w:r>
        <w:t xml:space="preserve">38.	The point is reinforced by the SL1 tracked-change comment referenced in Section C above. The Respondent has already disclosed, in the original tender bundle, that AGS advice on procedural fairness risk informed the original decision-maker's approach in November 2022. The advice now being withheld concerns the same subject matter — procedural fairness in the issuing of the notice of intention and the making of the banning order — at the same time, in respect of the same suite of decisions. The Tribunal can test this proposition by directing that the documents be produced to the Tribunal for inspection.</w:t>
      </w:r>
    </w:p>
    <w:p>
      <w:pPr>
        <w:pStyle w:val="Heading1"/>
        <w:spacing w:after="120" w:before="280"/>
      </w:pPr>
      <w:r>
        <w:t xml:space="preserve">H.  Ground 4 — The s 70(2) discretion should not be exercised in the Respondent's favour</w:t>
      </w:r>
    </w:p>
    <w:p>
      <w:pPr>
        <w:tabs>
          <w:tab w:val="left" w:pos="720"/>
        </w:tabs>
        <w:spacing w:after="180" w:line="300"/>
        <w:ind w:left="720" w:hanging="720"/>
        <w:jc w:val="both"/>
      </w:pPr>
      <w:r>
        <w:t xml:space="preserve">39.	If, contrary to Grounds 1 to 3, privilege survives, the question becomes whether the Tribunal should exercise the s 70(2) discretion to make non-disclosure orders. Four considerations weigh against the exercise of the discretion.</w:t>
      </w:r>
    </w:p>
    <w:p>
      <w:pPr>
        <w:tabs>
          <w:tab w:val="left" w:pos="720"/>
        </w:tabs>
        <w:spacing w:after="180" w:line="300"/>
        <w:ind w:left="720" w:hanging="720"/>
        <w:jc w:val="both"/>
      </w:pPr>
      <w:r>
        <w:t xml:space="preserve">40.	</w:t>
      </w:r>
      <w:r>
        <w:t xml:space="preserve">First, the statutory presumption in s 71(2)(c) is in favour of disclosure. Section 70(2) is a derogation from that presumption and requires affirmative reasons for its exercise. The Respondent's application identifies privilege as the basis, but does not articulate why redacted production or in-camera inspection — both of which would respect the privilege while preserving the substance of disclosure — would be inadequate.</w:t>
      </w:r>
    </w:p>
    <w:p>
      <w:pPr>
        <w:tabs>
          <w:tab w:val="left" w:pos="720"/>
        </w:tabs>
        <w:spacing w:after="180" w:line="300"/>
        <w:ind w:left="720" w:hanging="720"/>
        <w:jc w:val="both"/>
      </w:pPr>
      <w:r>
        <w:t xml:space="preserve">41.	</w:t>
      </w:r>
      <w:r>
        <w:t xml:space="preserve">Second, the documents are central to the merits review the Tribunal is to conduct. The </w:t>
      </w:r>
      <w:r>
        <w:rPr>
          <w:i/>
          <w:iCs/>
        </w:rPr>
        <w:t xml:space="preserve">VEAL v Minister</w:t>
      </w:r>
      <w:r>
        <w:t xml:space="preserve"> principle requires that material before the decision-maker, which bears on the case the applicant must meet, be disclosed in a manner that allows a meaningful opportunity to respond. The Notice of Intention Advice and Decision Advice were attached to the very briefs the decision-maker considered. They are within the s 23 obligation. Non-disclosure denies the Applicant the ability to know the case against him.</w:t>
      </w:r>
    </w:p>
    <w:p>
      <w:pPr>
        <w:tabs>
          <w:tab w:val="left" w:pos="720"/>
        </w:tabs>
        <w:spacing w:after="180" w:line="300"/>
        <w:ind w:left="720" w:hanging="720"/>
        <w:jc w:val="both"/>
      </w:pPr>
      <w:r>
        <w:t xml:space="preserve">42.	Third, the Respondent's own conduct has weakened the public-interest case for non-disclosure. The Respondent has already produced the briefing notes containing the substance of the decision-maker's reasoning. The Respondent has, separately, produced three categories of legal-advice content (Section C above) without claim of privilege. The advice attachments are part of the same record. Non-disclosure of only those attachments operates not to preserve the confidentiality of legal advice as a category, but to preserve from scrutiny those particular advices on those particular decisions. That is a use of the privilege regime closer to its perimeter than its core.</w:t>
      </w:r>
    </w:p>
    <w:p>
      <w:pPr>
        <w:tabs>
          <w:tab w:val="left" w:pos="720"/>
        </w:tabs>
        <w:spacing w:after="180" w:line="300"/>
        <w:ind w:left="720" w:hanging="720"/>
        <w:jc w:val="both"/>
      </w:pPr>
      <w:r>
        <w:t xml:space="preserve">43.	Fourth, the public interest in administrative justice is heightened in this case. The Respondent has acknowledged that the briefing notes themselves were omitted from the original tender bundle for almost two years (paragraph 15 of the Respondent's 19 March 2026 submissions). The case in respect of the Applicant has accordingly been re-documented late, and the Tribunal's task in scrutinising the lawfulness of the decisions made on those briefing notes is correspondingly important. A non-disclosure order over the advice attached to those briefs would compound the consequences of the late disclosure rather than ameliorate them.</w:t>
      </w:r>
    </w:p>
    <w:p>
      <w:pPr>
        <w:pStyle w:val="Heading1"/>
        <w:spacing w:after="120" w:before="280"/>
      </w:pPr>
      <w:r>
        <w:t xml:space="preserve">I.  Lesser-restrictive alternatives</w:t>
      </w:r>
    </w:p>
    <w:p>
      <w:pPr>
        <w:tabs>
          <w:tab w:val="left" w:pos="720"/>
        </w:tabs>
        <w:spacing w:after="180" w:line="300"/>
        <w:ind w:left="720" w:hanging="720"/>
        <w:jc w:val="both"/>
      </w:pPr>
      <w:r>
        <w:t xml:space="preserve">44.	If, contrary to the foregoing, the Tribunal is not satisfied to refuse the Respondent's application outright, the Applicant respectfully submits that the Tribunal should not make a non-disclosure order in the terms sought by the Respondent. Three lesser-restrictive alternatives are available and should be preferred.</w:t>
      </w:r>
    </w:p>
    <w:p>
      <w:pPr>
        <w:tabs>
          <w:tab w:val="left" w:pos="720"/>
        </w:tabs>
        <w:spacing w:after="180" w:line="300"/>
        <w:ind w:left="720" w:hanging="720"/>
        <w:jc w:val="both"/>
      </w:pPr>
      <w:r>
        <w:t xml:space="preserve">45.	First, the Tribunal can direct that the documents be produced to the Tribunal for inspection. Such an order does not disclose the documents to the parties; it permits the Tribunal to test the privilege claim and the waiver arguments by reference to the documents themselves. Production for inspection is a routine intermediate step that respects both the privilege regime and the merits-review function.</w:t>
      </w:r>
    </w:p>
    <w:p>
      <w:pPr>
        <w:tabs>
          <w:tab w:val="left" w:pos="720"/>
        </w:tabs>
        <w:spacing w:after="180" w:line="300"/>
        <w:ind w:left="720" w:hanging="720"/>
        <w:jc w:val="both"/>
      </w:pPr>
      <w:r>
        <w:t xml:space="preserve">46.	Second, the Tribunal can order redacted production. Where a document contains both legal advice (in respect of which privilege is claimed) and material that is operational or factual (in respect of which no privilege can attach), the document may be produced with the privileged portions redacted. The Respondent has not put on any material identifying the proportion of the documents that is purely advisory.</w:t>
      </w:r>
    </w:p>
    <w:p>
      <w:pPr>
        <w:tabs>
          <w:tab w:val="left" w:pos="720"/>
        </w:tabs>
        <w:spacing w:after="180" w:line="300"/>
        <w:ind w:left="720" w:hanging="720"/>
        <w:jc w:val="both"/>
      </w:pPr>
      <w:r>
        <w:t xml:space="preserve">47.	Third, the Tribunal can permit the Respondent to claim privilege over particular passages while requiring production of the balance, with the Tribunal supervising the partial claim. This is an established mechanism for managing privilege claims in administrative review proceedings and preserves the procedural fairness owed to the Applicant while preserving the core of the privilege.</w:t>
      </w:r>
    </w:p>
    <w:p>
      <w:pPr>
        <w:tabs>
          <w:tab w:val="left" w:pos="720"/>
        </w:tabs>
        <w:spacing w:after="180" w:line="300"/>
        <w:ind w:left="720" w:hanging="720"/>
        <w:jc w:val="both"/>
      </w:pPr>
      <w:r>
        <w:t xml:space="preserve">48.	The Applicant's preference, in descending order, is for: (i) outright refusal of the application; (ii) production to the Tribunal for inspection with consideration thereafter; (iii) redacted production; and (iv) partial production with supervised redaction.</w:t>
      </w:r>
    </w:p>
    <w:p>
      <w:pPr>
        <w:pStyle w:val="Heading1"/>
        <w:spacing w:after="120" w:before="280"/>
      </w:pPr>
      <w:r>
        <w:t xml:space="preserve">J.  Conclusion and orders sought</w:t>
      </w:r>
    </w:p>
    <w:p>
      <w:pPr>
        <w:tabs>
          <w:tab w:val="left" w:pos="720"/>
        </w:tabs>
        <w:spacing w:after="180" w:line="300"/>
        <w:ind w:left="720" w:hanging="720"/>
        <w:jc w:val="both"/>
      </w:pPr>
      <w:r>
        <w:t xml:space="preserve">49.	On the foregoing analysis, the Applicant submits that legal professional privilege over the Notice of Intention Advice and the Decision Advice has been waived by the Respondent's voluntary disclosure of the three categories of legal-advice content identified at Section C above, by the Respondent's production of the briefing notes in which the advice sits as attachments, and by the Respondent's defence of the substantive decisions in this review. The s 70(2) discretion should in any event not be exercised to override the s 23 disclosure obligation and the s 71(2)(c) statutory presumption.</w:t>
      </w:r>
    </w:p>
    <w:p>
      <w:pPr>
        <w:tabs>
          <w:tab w:val="left" w:pos="720"/>
        </w:tabs>
        <w:spacing w:after="180" w:line="300"/>
        <w:ind w:left="720" w:hanging="720"/>
        <w:jc w:val="both"/>
      </w:pPr>
      <w:r>
        <w:t xml:space="preserve">50.	The Applicant asks the Tribunal to make the following orders:</w:t>
      </w:r>
    </w:p>
    <w:p>
      <w:pPr>
        <w:tabs>
          <w:tab w:val="left" w:pos="1440"/>
        </w:tabs>
        <w:spacing w:after="120" w:line="300"/>
        <w:ind w:left="1440" w:hanging="720"/>
        <w:jc w:val="both"/>
      </w:pPr>
      <w:r>
        <w:t xml:space="preserve">(a)	an order refusing the Respondent's application of 7 May 2026 under s 70(2) of the ART Act in respect of Attachment O to Briefing Note EC22-002103 and Attachment G to Briefing Note EC22-002521;</w:t>
      </w:r>
    </w:p>
    <w:p>
      <w:pPr>
        <w:tabs>
          <w:tab w:val="left" w:pos="1440"/>
        </w:tabs>
        <w:spacing w:after="120" w:line="300"/>
        <w:ind w:left="1440" w:hanging="720"/>
        <w:jc w:val="both"/>
      </w:pPr>
      <w:r>
        <w:t xml:space="preserve">(b)	in the alternative, an order requiring the Respondent to produce those documents to the Tribunal for inspection within seven days, with leave to the parties to make further submissions following inspection;</w:t>
      </w:r>
    </w:p>
    <w:p>
      <w:pPr>
        <w:tabs>
          <w:tab w:val="left" w:pos="1440"/>
        </w:tabs>
        <w:spacing w:after="120" w:line="300"/>
        <w:ind w:left="1440" w:hanging="720"/>
        <w:jc w:val="both"/>
      </w:pPr>
      <w:r>
        <w:t xml:space="preserve">(c)	in the further alternative, an order requiring the Respondent to produce those documents in redacted form, with the redactions limited to material the Respondent satisfies the Tribunal is subject to legal professional privilege; and</w:t>
      </w:r>
    </w:p>
    <w:p>
      <w:pPr>
        <w:tabs>
          <w:tab w:val="left" w:pos="1440"/>
        </w:tabs>
        <w:spacing w:after="120" w:line="300"/>
        <w:ind w:left="1440" w:hanging="720"/>
        <w:jc w:val="both"/>
      </w:pPr>
      <w:r>
        <w:t xml:space="preserve">(d)	such further or other orders as the Tribunal considers appropriate.</w:t>
      </w:r>
    </w:p>
    <w:p>
      <w:pPr>
        <w:spacing w:after="40" w:before="480"/>
      </w:pPr>
      <w:r>
        <w:rPr>
          <w:sz w:val="22"/>
          <w:szCs w:val="22"/>
        </w:rPr>
        <w:t>Dated: 19 May 2026</w:t>
      </w:r>
    </w:p>
    <w:p>
      <w:pPr>
        <w:spacing w:after="320"/>
      </w:pPr>
      <w:r>
        <w:rPr>
          <w:sz w:val="22"/>
          <w:szCs w:val="22"/>
        </w:rPr>
        <w:t xml:space="preserve"> </w:t>
      </w:r>
    </w:p>
    <w:p>
      <w:pPr>
        <w:spacing w:after="40"/>
      </w:pPr>
      <w:r>
        <w:rPr>
          <w:sz w:val="22"/>
          <w:szCs w:val="22"/>
        </w:rPr>
        <w:t xml:space="preserve">________________________________</w:t>
      </w:r>
    </w:p>
    <w:p>
      <w:pPr>
        <w:spacing w:after="0"/>
      </w:pPr>
      <w:r>
        <w:rPr>
          <w:b/>
          <w:bCs/>
          <w:sz w:val="22"/>
          <w:szCs w:val="22"/>
        </w:rPr>
        <w:t xml:space="preserve">SIMON REID</w:t>
      </w:r>
    </w:p>
    <w:p>
      <w:pPr>
        <w:spacing w:after="0"/>
      </w:pPr>
      <w:r>
        <w:rPr>
          <w:i/>
          <w:iCs/>
          <w:sz w:val="22"/>
          <w:szCs w:val="22"/>
        </w:rPr>
        <w:t xml:space="preserve">Applicant in person</w:t>
      </w:r>
    </w:p>
    <w:p>
      <w:pPr>
        <w:spacing w:after="0"/>
      </w:pPr>
      <w:r>
        <w:rPr>
          <w:sz w:val="22"/>
          <w:szCs w:val="22"/>
        </w:rPr>
        <w:t xml:space="preserve">ART No. 2023/3363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Simon Reid — Opposition to s 70 application — ART 2023/3363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Applicant's Submissions in Opposition to s 70 Non-Disclosure Application (v2) — Simon Reid — ART 2023/3363</dc:title>
  <dc:creator>Simon Reid — Applicant in person</dc:creator>
  <cp:lastModifiedBy>Un-named</cp:lastModifiedBy>
  <cp:revision>1</cp:revision>
  <dcterms:created xsi:type="dcterms:W3CDTF">2026-05-13T05:41:23.804Z</dcterms:created>
  <dcterms:modified xsi:type="dcterms:W3CDTF">2026-05-13T05:41:23.823Z</dcterms:modified>
</cp:coreProperties>
</file>

<file path=docProps/custom.xml><?xml version="1.0" encoding="utf-8"?>
<Properties xmlns="http://schemas.openxmlformats.org/officeDocument/2006/custom-properties" xmlns:vt="http://schemas.openxmlformats.org/officeDocument/2006/docPropsVTypes"/>
</file>