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CONFIDENTIAL — PREPARED FOR THE DOMINANT PURPOSE OF OBTAINING LEGAL ADVICE</w:t>
      </w:r>
    </w:p>
    <w:p>
      <w:pPr>
        <w:spacing w:after="160"/>
        <w:jc w:val="center"/>
      </w:pPr>
      <w:r>
        <w:rPr>
          <w:sz w:val="18"/>
          <w:szCs w:val="18"/>
        </w:rPr>
        <w:t xml:space="preserve">Circulation: the three applicants and retained lawyers only. A heading does not create privilege; confidentiality and dominant purpose must be maintained in fact. Do not file, serve, quote or forward.</w:t>
      </w:r>
    </w:p>
    <w:p>
      <w:pPr>
        <w:spacing w:after="60"/>
        <w:jc w:val="center"/>
      </w:pPr>
      <w:r>
        <w:rPr>
          <w:b/>
          <w:bCs/>
          <w:sz w:val="28"/>
          <w:szCs w:val="28"/>
        </w:rPr>
        <w:t xml:space="preserve">STRATEGIC ISSUE LIST AND DRAFT INSTRUCTIONS TO COUNSEL</w:t>
      </w:r>
    </w:p>
    <w:p>
      <w:pPr>
        <w:spacing w:after="40"/>
        <w:jc w:val="center"/>
      </w:pPr>
      <w:r>
        <w:t xml:space="preserve">Reid, Reid and Forward Focused Group Pty Ltd v Commissioner of the NDIS Quality and Safeguards Commission — ART 2023/3361, 2023/3363, 2023/4494</w:t>
      </w:r>
    </w:p>
    <w:p>
      <w:pPr>
        <w:spacing w:after="280"/>
        <w:jc w:val="center"/>
      </w:pPr>
      <w:r>
        <w:t xml:space="preserve">Version 2 — 16 August 2026. Supersedes the Memorandum of Strategic Advice of the same date, which should not be circulated. Prepared with AI assistance; this is an instruction document for retained Australian counsel, not an opinion. Items marked [VERIFY] are unconfirmed and must not be relied on until checked against primary sources.</w:t>
      </w:r>
    </w:p>
    <w:p>
      <w:pPr>
        <w:spacing w:after="170" w:before="320"/>
      </w:pPr>
      <w:r>
        <w:rPr>
          <w:b/>
          <w:bCs/>
          <w:sz w:val="24"/>
          <w:szCs w:val="24"/>
        </w:rPr>
        <w:t xml:space="preserve">A.  OBJECTIVES</w:t>
      </w:r>
    </w:p>
    <w:p>
      <w:pPr>
        <w:spacing w:after="170"/>
        <w:ind w:left="792" w:hanging="792"/>
      </w:pPr>
      <w:r>
        <w:rPr>
          <w:b/>
          <w:bCs/>
        </w:rPr>
        <w:t xml:space="preserve">1.	</w:t>
      </w:r>
      <w:r>
        <w:t xml:space="preserve">The clients do not seek readmission to the NDIS market. The objectives are: correction of the official record; findings that the banning orders were made beyond power or without a proper evidentiary foundation as to each person actually banned; removal or correction of the continuing public consequences, principally the register; and compensation for demonstrable loss. The Tribunal proceeding is the platform for those outcomes; it cannot itself award compensation.</w:t>
      </w:r>
    </w:p>
    <w:p>
      <w:pPr>
        <w:spacing w:after="170" w:before="320"/>
      </w:pPr>
      <w:r>
        <w:rPr>
          <w:b/>
          <w:bCs/>
          <w:sz w:val="24"/>
          <w:szCs w:val="24"/>
        </w:rPr>
        <w:t xml:space="preserve">B.  THE CASE ARCHITECTURE (SETTLED)</w:t>
      </w:r>
    </w:p>
    <w:p>
      <w:pPr>
        <w:spacing w:after="170"/>
        <w:ind w:left="792" w:hanging="792"/>
      </w:pPr>
      <w:r>
        <w:rPr>
          <w:b/>
          <w:bCs/>
        </w:rPr>
        <w:t xml:space="preserve">2.	</w:t>
      </w:r>
      <w:r>
        <w:t xml:space="preserve">Counsel is instructed that the following architecture has been adopted and stress-tested and should be departed from only on advice: (a) the legality of the operative wording of the varied orders, on the reasoning of Sunflower Care Services Pty Ltd v Commissioner of the NDIS QSC (No 2) [2025] FCA 1442 at [131], is put front and centre, by separate question if the Tribunal will entertain one and within the substantive hearing if not; (b) every allegation is to be allocated — applicant, person, entity, date, act, source document, statutory relevance, witness — before the applicants plead; (c) the three applicants run a common legal case with separate evidence, privilege, loss and settlement positions; (d) primary relief is a substituted decision that no banning order be made, with the ordinary retrospective operation under s 108(4) of the ART Act addressed expressly; (e) the alternative case forces the Respondent to identify the precise, lawful, proportionate order it contends should now be substituted on the evidence it can actually prove — it is not the applicants' task to draft their own ban; (f) an interpreter for the First Applicant is sought under s 68; (g) separate loss schedules for Simon, Vida, FFG and Hybrid are built now, and limitation advice is obtained now; (h) no admission of fraud or dishonesty, no permanent undertaking to stay out of the sector, and no unquantified global release will be given in any settlement; (i) the Second Applicant's case is not to be determined by association — the Commission must prove what he personally did.</w:t>
      </w:r>
    </w:p>
    <w:p>
      <w:pPr>
        <w:spacing w:after="170" w:before="320"/>
      </w:pPr>
      <w:r>
        <w:rPr>
          <w:b/>
          <w:bCs/>
          <w:sz w:val="24"/>
          <w:szCs w:val="24"/>
        </w:rPr>
        <w:t xml:space="preserve">C.  THE EVIDENTIARY APPROACH — CORRECTLY SCOPED</w:t>
      </w:r>
    </w:p>
    <w:p>
      <w:pPr>
        <w:spacing w:after="170"/>
        <w:ind w:left="792" w:hanging="792"/>
      </w:pPr>
      <w:r>
        <w:rPr>
          <w:b/>
          <w:bCs/>
        </w:rPr>
        <w:t xml:space="preserve">3.	</w:t>
      </w:r>
      <w:r>
        <w:t xml:space="preserve">The Tribunal is not bound by the rules of evidence and may inform itself as it considers appropriate; objection therefore goes to </w:t>
      </w:r>
      <w:r>
        <w:rPr>
          <w:b/>
          <w:bCs/>
        </w:rPr>
        <w:t xml:space="preserve">weight, fairness and reliability</w:t>
      </w:r>
      <w:r>
        <w:t xml:space="preserve">, not admissibility, and outcomes range from exclusion to reduced weight to no weight [VERIFY: ART Act evidence provision and the Common Procedures Practice Direction paragraph before citing either]. The application is targeted, not global: identify each decisive statement; explain why its maker must be made available; distinguish allegations, investigation opinions, convictions, acquittals and discontinued charges; and seek little or no weight where testing is unavailable.</w:t>
      </w:r>
    </w:p>
    <w:p>
      <w:pPr>
        <w:spacing w:after="170"/>
        <w:ind w:left="792" w:hanging="792"/>
      </w:pPr>
      <w:r>
        <w:rPr>
          <w:b/>
          <w:bCs/>
        </w:rPr>
        <w:t xml:space="preserve">4.	</w:t>
      </w:r>
      <w:r>
        <w:t xml:space="preserve">Byers v Minister for Immigration [2024] ARTA 183 (the presiding member's own decision; full text held) supports that approach: an objection taken at the outset to police records carrying no recorded outcome was upheld save for documents specifically put to the applicant, consent-based orders without admissions were treated with caution, and charges dismissed after a hearing were treated as neutralised. It is support for statement-by-statement submissions on weight; it is not authority that the Commission's file falls wholesale, and it should not be pitched that way. Note the distinction counsel must hold: the First Applicant's charges were dismissed for want of prosecution with a stated intention to recharge — materially different from the not-guilty verdict in Byers; the dismissal weakens reliance on the charges but does not disprove the underlying allegations.</w:t>
      </w:r>
    </w:p>
    <w:p>
      <w:pPr>
        <w:spacing w:after="170"/>
        <w:ind w:left="792" w:hanging="792"/>
      </w:pPr>
      <w:r>
        <w:rPr>
          <w:b/>
          <w:bCs/>
        </w:rPr>
        <w:t xml:space="preserve">5.	</w:t>
      </w:r>
      <w:r>
        <w:t xml:space="preserve">The witness-notice and schedule orders in the filed counter-minute of 16 August 2026 implement this. The two-day estimate is opposed on the orthodox ground that it is </w:t>
      </w:r>
      <w:r>
        <w:rPr>
          <w:b/>
          <w:bCs/>
        </w:rPr>
        <w:t xml:space="preserve">premature</w:t>
      </w:r>
      <w:r>
        <w:t xml:space="preserve"> — witnesses, cross-examination, the s 70 application, the schedules and the interpreter are all unresolved — and on no other ground. No submission is to attribute motive or strategy to the Respondent's lawyers.</w:t>
      </w:r>
    </w:p>
    <w:p>
      <w:pPr>
        <w:spacing w:after="170" w:before="320"/>
      </w:pPr>
      <w:r>
        <w:rPr>
          <w:b/>
          <w:bCs/>
          <w:sz w:val="24"/>
          <w:szCs w:val="24"/>
        </w:rPr>
        <w:t xml:space="preserve">D.  THE LEGALITY STREAM</w:t>
      </w:r>
    </w:p>
    <w:p>
      <w:pPr>
        <w:spacing w:after="170"/>
        <w:ind w:left="792" w:hanging="792"/>
      </w:pPr>
      <w:r>
        <w:rPr>
          <w:b/>
          <w:bCs/>
        </w:rPr>
        <w:t xml:space="preserve">6.	</w:t>
      </w:r>
      <w:r>
        <w:t xml:space="preserve">Sunflower (No 2) at [131] holds that a banning order must express the specified activities in terms reasonably capable of being obeyed, failing which it is not an order authorised by s 73ZN; the order there quashed prohibited direct or indirect involvement in the provision of supports or services; the Second Applicant's varied order is expressed more broadly. The stream comprises construction, severability of the offending limbs, and the Tribunal's substitution powers. It is not treated as a knockout: the Commission may rely on fresh evidence of present suitability; the Tribunal may substitute a narrower lawful order; invalidity of wording does not compel a no-order outcome — the no-order case rests on the evidentiary-foundation limb (the internal review's paragraph 46 reliance on an investigation that produced no brief, no charge and a discontinuance; the T9.4 and Project Archer concessions about the Second Applicant's actual involvement).</w:t>
      </w:r>
    </w:p>
    <w:p>
      <w:pPr>
        <w:spacing w:after="170"/>
        <w:ind w:left="792" w:hanging="792"/>
      </w:pPr>
      <w:r>
        <w:rPr>
          <w:b/>
          <w:bCs/>
        </w:rPr>
        <w:t xml:space="preserve">7.	</w:t>
      </w:r>
      <w:r>
        <w:t xml:space="preserve">Statutory currency check for counsel [VERIFY, unverified secondary reports]: whether 2026 amendments inserted serious-breach consequence provisions (reported as s 73ZNA) and register provisions permitting historical entries (reported as s 73ZDA), and what each does to (a) the certainty argument — stricter consequences strengthen it — and (b) the availability and mechanics of register correction, which is not assumed to be automatic.</w:t>
      </w:r>
    </w:p>
    <w:p>
      <w:pPr>
        <w:spacing w:after="170" w:before="320"/>
      </w:pPr>
      <w:r>
        <w:rPr>
          <w:b/>
          <w:bCs/>
          <w:sz w:val="24"/>
          <w:szCs w:val="24"/>
        </w:rPr>
        <w:t xml:space="preserve">E.  COURT PATHWAYS — THE LADDER</w:t>
      </w:r>
    </w:p>
    <w:p>
      <w:pPr>
        <w:spacing w:after="170"/>
        <w:ind w:left="792" w:hanging="792"/>
      </w:pPr>
      <w:r>
        <w:rPr>
          <w:b/>
          <w:bCs/>
        </w:rPr>
        <w:t xml:space="preserve">8.	</w:t>
      </w:r>
      <w:r>
        <w:t xml:space="preserve">In order: (1) preliminary treatment of construction and severability in the Tribunal (the separate question sought in the counter-minute); (2) if a genuine question of law crystallises, a request under s 185 for referral to the Federal Court, which requires the President's agreement and is put as a conditional alternative, not a demand; (3) a Guidance and Appeals Panel referral under s 122 is available only on the President's own initiative — a party may invite it, and the invitation costs nothing [previously verified: party applications under s 123 are confined to s 105 decisions]; (4) a s 32 stay of the operative varied order is available in principle but is assessed as low-value against these objectives and against the member's stay reasoning in Wright v CASA [2025] ARTA 576; (5) direct s 39B judicial review is a counsel-gated decision, not an automatic trigger: the drafted suite is held ready, and a refusal of early determination in the Tribunal would strengthen the discretionary case that the statutory alternative is inadequate — but the jurisdiction, delay, costs and security-for-costs analysis (r 19.01; the Second Applicant is resident abroad) is made by counsel before filing. The review's citation of Little Monster Productions v Screen Australia [2026] FCA 902 on preliminary s 172 appeals is noted but [VERIFY — not yet retrieved; do not cite].</w:t>
      </w:r>
    </w:p>
    <w:p>
      <w:pPr>
        <w:spacing w:after="170" w:before="320"/>
      </w:pPr>
      <w:r>
        <w:rPr>
          <w:b/>
          <w:bCs/>
          <w:sz w:val="24"/>
          <w:szCs w:val="24"/>
        </w:rPr>
        <w:t xml:space="preserve">F.  THE FIRST APPLICANT'S PROTOCOL</w:t>
      </w:r>
    </w:p>
    <w:p>
      <w:pPr>
        <w:spacing w:after="170"/>
        <w:ind w:left="792" w:hanging="792"/>
      </w:pPr>
      <w:r>
        <w:rPr>
          <w:b/>
          <w:bCs/>
        </w:rPr>
        <w:t xml:space="preserve">9.	</w:t>
      </w:r>
      <w:r>
        <w:t xml:space="preserve">Blanket silence is not the plan; it would leave the Commission's evidence unanswered while the practical onus sits with the applicants. The protocol is: separate criminal-law advice before any evidentiary step; her case advanced through legal submissions and non-incriminating documentary evidence; privilege against self-incrimination taken document-by-document and question-by-question, with advance identification of proposed questions and individual rulings sought; private hearing or non-publication orders where justified, understood as protective only — a non-publication order is not use immunity; and targeted adjournment of any fraud-dependent issue on demonstrated, concrete criminal prejudice rather than a general stay. Her interpreter request is pressed under s 68 and resolved before listing.</w:t>
      </w:r>
    </w:p>
    <w:p>
      <w:pPr>
        <w:spacing w:after="170" w:before="320"/>
      </w:pPr>
      <w:r>
        <w:rPr>
          <w:b/>
          <w:bCs/>
          <w:sz w:val="24"/>
          <w:szCs w:val="24"/>
        </w:rPr>
        <w:t xml:space="preserve">G.  THE SECOND APPLICANT'S INDIVIDUALISATION CASE</w:t>
      </w:r>
    </w:p>
    <w:p>
      <w:pPr>
        <w:spacing w:after="170"/>
        <w:ind w:left="792" w:hanging="792"/>
      </w:pPr>
      <w:r>
        <w:rPr>
          <w:b/>
          <w:bCs/>
        </w:rPr>
        <w:t xml:space="preserve">10.	</w:t>
      </w:r>
      <w:r>
        <w:t xml:space="preserve">Verified and precisely scoped: neither the banning order and statement of reasons of 21 December 2022, nor the briefing note underlying it, nor the internal review decision of 21 April 2023 contains any allegation that the Second Applicant intimidated or harassed any participant; the only harassment references in those documents describe alleged directions given by the First Applicant to staff. The severance decision nonetheless frames intimidation by either individual applicant as a hearing issue. The demand is therefore for particulars: each allegation, its source, and whether it formed part of the basis of either decision under review — not an assertion that the issue cannot be raised. The directorship chronology (no FFG office between 3 January 2021 and 1 November 2022; Hybrid office from 17 February 2022, disclosed) makes the entity-allocation schedule decisive and is run as a demand for proof, never as attribution of responsibility to any other person.</w:t>
      </w:r>
    </w:p>
    <w:p>
      <w:pPr>
        <w:spacing w:after="170" w:before="320"/>
      </w:pPr>
      <w:r>
        <w:rPr>
          <w:b/>
          <w:bCs/>
          <w:sz w:val="24"/>
          <w:szCs w:val="24"/>
        </w:rPr>
        <w:t xml:space="preserve">H.  COMPENSATION</w:t>
      </w:r>
    </w:p>
    <w:p>
      <w:pPr>
        <w:spacing w:after="170"/>
        <w:ind w:left="792" w:hanging="792"/>
      </w:pPr>
      <w:r>
        <w:rPr>
          <w:b/>
          <w:bCs/>
        </w:rPr>
        <w:t xml:space="preserve">11.	</w:t>
      </w:r>
      <w:r>
        <w:t xml:space="preserve">Route: a favourable Tribunal outcome, then a CDDA claim — discretionary, requiring proven defective administration, direct causation, quantified loss and mitigation — with a legal-liability settlement as the alternative and misfeasance held in reserve absent officer-specific evidence of knowledge or reckless indifference (Sanders v Snell). Causation discipline from day one: the original orders were narrower than the varied orders, so loss items are captured separately against the broadening, the register publication and its currency, the post-February-2024 investigation assertion, and identified third-party disclosures. Four separate schedules; company loss is not claimed personally; register screenshots captured monthly; no statement by any client, anywhere, that reputation is already destroyed or that nothing remains to lose; the clients' private intention not to return to the sector appears in no pleading and no negotiation.</w:t>
      </w:r>
    </w:p>
    <w:p>
      <w:pPr>
        <w:spacing w:after="170" w:before="320"/>
      </w:pPr>
      <w:r>
        <w:rPr>
          <w:b/>
          <w:bCs/>
          <w:sz w:val="24"/>
          <w:szCs w:val="24"/>
        </w:rPr>
        <w:t xml:space="preserve">I.  SETTLEMENT PARAMETERS</w:t>
      </w:r>
    </w:p>
    <w:p>
      <w:pPr>
        <w:spacing w:after="170"/>
        <w:ind w:left="792" w:hanging="792"/>
      </w:pPr>
      <w:r>
        <w:rPr>
          <w:b/>
          <w:bCs/>
        </w:rPr>
        <w:t xml:space="preserve">12.	</w:t>
      </w:r>
      <w:r>
        <w:t xml:space="preserve">Acceptable: substituted no-order decisions or consent set-aside with agreed reasons; express treatment of retrospective effect; register correction to the extent the statute permits [VERIFY s 73ZDA]; corrective notices to identified recipients; no admissions; an agreed corrective statement; a defined compensation process; preservation of records; a costs contribution; a narrow release confined to the matters resolved. Not acceptable: any admission of fraud or dishonesty; any permanent undertaking not to work in the NDIS sector; any release extending to unquantified compensation claims. Timing of any approach is a counsel decision; the applicants do not open early.</w:t>
      </w:r>
    </w:p>
    <w:p>
      <w:pPr>
        <w:spacing w:after="170" w:before="320"/>
      </w:pPr>
      <w:r>
        <w:rPr>
          <w:b/>
          <w:bCs/>
          <w:sz w:val="24"/>
          <w:szCs w:val="24"/>
        </w:rPr>
        <w:t xml:space="preserve">J.  IMMEDIATE INSTRUCTIONS</w:t>
      </w:r>
    </w:p>
    <w:p>
      <w:pPr>
        <w:spacing w:after="170"/>
        <w:ind w:left="792" w:hanging="792"/>
      </w:pPr>
      <w:r>
        <w:rPr>
          <w:b/>
          <w:bCs/>
        </w:rPr>
        <w:t xml:space="preserve">13.	</w:t>
      </w:r>
      <w:r>
        <w:t xml:space="preserve">(1) File the counter-minute and availability email; finalise the five-item s 114 correction letter — corrections of record, no allegation of bias. (2) Prepare the directions-hearing speaking note and the s 70 oral note (waiver put as submissions on the filed opposition; privilege-schedule, possible inspection, severance of factual annexures as fallback orders). (3) Obtain the limitation opinion; seek a standstill before any settlement discussion. (4) Brief counsel with this document, the counter-minute, the s 114 letter, the Sunflower judgment, the three decision documents for each applicant, and the schedules; ask counsel to settle the SFIC structure as separate applicant SFICs with one common legal annexure. (5) Counsel to advise on the s 185 request timing and the s 39B assessment. (6) Commence the four loss schedules and monthly register captures.</w:t>
      </w:r>
    </w:p>
    <w:p>
      <w:pPr>
        <w:spacing w:after="280"/>
      </w:pPr>
    </w:p>
    <w:p>
      <w:pPr>
        <w:spacing w:after="170"/>
      </w:pPr>
      <w:r>
        <w:t xml:space="preserve">This document records the clients' instructions and working analysis for counsel. Every citation, statutory reference and factual particular is to be verified by the retained lawyers against primary sources before any external use; items marked [VERIFY] are known to be unverified.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2026-08-16T13:09:13.575Z</dcterms:created>
  <dcterms:modified xsi:type="dcterms:W3CDTF">2026-08-16T13:09:13.589Z</dcterms:modified>
</cp:coreProperties>
</file>

<file path=docProps/custom.xml><?xml version="1.0" encoding="utf-8"?>
<Properties xmlns="http://schemas.openxmlformats.org/officeDocument/2006/custom-properties" xmlns:vt="http://schemas.openxmlformats.org/officeDocument/2006/docPropsVTypes"/>
</file>