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IPAGothic" w:cs="IPAGothic" w:eastAsia="IPAGothic" w:hAnsi="IPAGothic"/>
          <w:b/>
          <w:bCs/>
          <w:color w:val="1F3864"/>
          <w:sz w:val="40"/>
          <w:szCs w:val="40"/>
        </w:rPr>
        <w:t xml:space="preserve">DC向けセル 保存劣化モデルの</w:t>
      </w:r>
    </w:p>
    <w:p>
      <w:pPr>
        <w:spacing w:after="500"/>
        <w:jc w:val="center"/>
      </w:pPr>
      <w:r>
        <w:rPr>
          <w:rFonts w:ascii="IPAGothic" w:cs="IPAGothic" w:eastAsia="IPAGothic" w:hAnsi="IPAGothic"/>
          <w:b/>
          <w:bCs/>
          <w:color w:val="1F3864"/>
          <w:sz w:val="40"/>
          <w:szCs w:val="40"/>
        </w:rPr>
        <w:t xml:space="preserve">感度解析と設計探索アーキテクチャ</w:t>
      </w:r>
    </w:p>
    <w:p>
      <w:pPr>
        <w:spacing w:after="100"/>
        <w:jc w:val="center"/>
      </w:pPr>
      <w:r>
        <w:rPr>
          <w:rFonts w:ascii="IPAGothic" w:cs="IPAGothic" w:eastAsia="IPAGothic" w:hAnsi="IPAGothic"/>
          <w:color w:val="B4472C"/>
          <w:sz w:val="24"/>
          <w:szCs w:val="24"/>
        </w:rPr>
        <w:t xml:space="preserve">― 理論式ベース Sobol 感度解析（統合版: 改訂第3版 ＋ F-1残課題の消し込み検証）―</w:t>
      </w:r>
    </w:p>
    <w:p>
      <w:pPr>
        <w:spacing w:after="60" w:before="900"/>
        <w:jc w:val="center"/>
      </w:pPr>
      <w:r>
        <w:rPr>
          <w:rFonts w:ascii="IPAGothic" w:cs="IPAGothic" w:eastAsia="IPAGothic" w:hAnsi="IPAGothic"/>
          <w:b/>
          <w:bCs/>
          <w:sz w:val="26"/>
          <w:szCs w:val="26"/>
        </w:rPr>
        <w:t xml:space="preserve">プロトタイプ実装報告書</w:t>
      </w:r>
    </w:p>
    <w:p>
      <w:pPr>
        <w:spacing w:after="40"/>
        <w:jc w:val="center"/>
      </w:pPr>
      <w:r>
        <w:rPr>
          <w:rFonts w:ascii="IPAGothic" w:cs="IPAGothic" w:eastAsia="IPAGothic" w:hAnsi="IPAGothic"/>
          <w:color w:val="595959"/>
          <w:sz w:val="19"/>
          <w:szCs w:val="19"/>
        </w:rPr>
        <w:t xml:space="preserve">対象: DC_v5 保存劣化理論式（社内テクニカルレポート T0073-2025-00305 / NCR2170JB Step2 準拠）</w:t>
      </w:r>
    </w:p>
    <w:p>
      <w:pPr>
        <w:jc w:val="center"/>
      </w:pPr>
      <w:r>
        <w:rPr>
          <w:rFonts w:ascii="IPAGothic" w:cs="IPAGothic" w:eastAsia="IPAGothic" w:hAnsi="IPAGothic"/>
          <w:color w:val="595959"/>
          <w:sz w:val="19"/>
          <w:szCs w:val="19"/>
        </w:rPr>
        <w:t xml:space="preserve">作成日: 2026-07-23 ／ 統合版（改訂第3版に §8 検証結果を統合）</w:t>
      </w:r>
    </w:p>
    <w:p>
      <w:r>
        <w:br w:type="page"/>
      </w:r>
    </w:p>
    <w:p>
      <w:pPr>
        <w:pStyle w:val="Heading1"/>
        <w:spacing w:after="110" w:before="220"/>
      </w:pPr>
      <w:r>
        <w:rPr>
          <w:rFonts w:ascii="IPAGothic" w:cs="IPAGothic" w:eastAsia="IPAGothic" w:hAnsi="IPAGothic"/>
        </w:rP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spacing w:after="110" w:before="220"/>
      </w:pPr>
      <w:r>
        <w:rPr>
          <w:rFonts w:ascii="IPAGothic" w:cs="IPAGothic" w:eastAsia="IPAGothic" w:hAnsi="IPAGothic"/>
        </w:rPr>
        <w:t xml:space="preserve">概要（エグゼクティブサマリー）</w:t>
      </w:r>
    </w:p>
    <w:p>
      <w:pPr>
        <w:spacing w:after="90" w:line="276"/>
      </w:pPr>
      <w:r>
        <w:rPr>
          <w:rFonts w:ascii="IPAGothic" w:cs="IPAGothic" w:eastAsia="IPAGothic" w:hAnsi="IPAGothic"/>
          <w:sz w:val="21"/>
          <w:szCs w:val="21"/>
        </w:rPr>
        <w:t xml:space="preserve">データセンター（DC）向け高出力円筒セルでは、保存後の出力劣化が設計成立の鍵となる。本報告書は、社内で構築済みの保存劣化理論式（DC_v5, 定W放電モデル）を直接モンテカルロで叩く Sobol 感度解析のプロトタイプを実装し、設計探索3点セット（コンター図・並行座標・感度ネットワーク図）と統合した設計探索アーキテクチャを提示する。</w:t>
      </w:r>
    </w:p>
    <w:p>
      <w:pPr>
        <w:spacing w:after="90" w:line="276"/>
      </w:pPr>
      <w:r>
        <w:rPr>
          <w:rFonts w:ascii="IPAGothic" w:cs="IPAGothic" w:eastAsia="IPAGothic" w:hAnsi="IPAGothic"/>
          <w:b/>
          <w:bCs/>
          <w:color w:val="B4472C"/>
          <w:sz w:val="21"/>
          <w:szCs w:val="21"/>
        </w:rPr>
        <w:t xml:space="preserve">本検討の核心（感度解析でしか出ない結論）: </w:t>
      </w:r>
      <w:r>
        <w:rPr>
          <w:rFonts w:ascii="IPAGothic" w:cs="IPAGothic" w:eastAsia="IPAGothic" w:hAnsi="IPAGothic"/>
          <w:sz w:val="21"/>
          <w:szCs w:val="21"/>
        </w:rPr>
        <w:t xml:space="preserve">限界Li塩濃度の支配因子は、拡散劣化モードが頻発する領域（塗布量10〜13・曲路率1.7〜2.0）では、全域で首位の材料物性=曲路率から、制御可能な設計因子=活物質密度へ入れ替わる（§5.4）。この入れ替わりは代入方針（median／penalty）と代入非依存の順位相関（Spearman |ρ|）の3手法すべてで再現し、代入方針に頑健であることを確認した（§5.4／図6）。全域感度では見えず、領域を絞って初めて現れる非自明な結果であり、「材料で決まる（打ち手がない）」という誤解を退けて設計上の打ち手を示す。</w:t>
      </w:r>
    </w:p>
    <w:p>
      <w:pPr>
        <w:spacing w:after="90" w:line="276"/>
      </w:pPr>
      <w:r>
        <w:rPr>
          <w:rFonts w:ascii="IPAGothic" w:cs="IPAGothic" w:eastAsia="IPAGothic" w:hAnsi="IPAGothic"/>
          <w:b/>
          <w:bCs/>
          <w:color w:val="1F3864"/>
          <w:sz w:val="21"/>
          <w:szCs w:val="21"/>
        </w:rPr>
        <w:t xml:space="preserve">その他の結果: </w:t>
      </w:r>
      <w:r>
        <w:rPr>
          <w:rFonts w:ascii="IPAGothic" w:cs="IPAGothic" w:eastAsia="IPAGothic" w:hAnsi="IPAGothic"/>
          <w:sz w:val="21"/>
          <w:szCs w:val="21"/>
        </w:rPr>
        <w:t xml:space="preserve">①応答（放電後電圧／限界Li塩濃度／300W維持可否）ごとに支配因子が明確に分離する（§5.1）。②保存が進むと支配モードが抵抗劣化から拡散劣化へ遷移する。ただしこれは劣化項が r(T)·t と k(T)·√t である以上の理論式の代数的帰結であり、感度解析でなくとも導ける。よって「感度」ではなく</w:t>
      </w:r>
      <w:r>
        <w:rPr>
          <w:rFonts w:ascii="IPAGothic" w:cs="IPAGothic" w:eastAsia="IPAGothic" w:hAnsi="IPAGothic"/>
          <w:b/>
          <w:bCs/>
          <w:sz w:val="21"/>
          <w:szCs w:val="21"/>
        </w:rPr>
        <w:t xml:space="preserve">不確かさ伝播（UP）の成果</w:t>
      </w:r>
      <w:r>
        <w:rPr>
          <w:rFonts w:ascii="IPAGothic" w:cs="IPAGothic" w:eastAsia="IPAGothic" w:hAnsi="IPAGothic"/>
          <w:sz w:val="21"/>
          <w:szCs w:val="21"/>
        </w:rPr>
        <w:t xml:space="preserve">として遷移時期と母集団比率を定量化したものと位置づける（§5.2）。③限界Li塩濃度の感度は代入方針で ST 上位が入れ替わる（§4.5(3)）— これ自体が本検討で判明した数値的注意点であり、成立可否は二値応答で別途分解した。④入力分布モード（design／variation）で支配因子が反転する（§5.5）。</w:t>
      </w:r>
    </w:p>
    <w:p>
      <w:pPr>
        <w:spacing w:after="90" w:line="276"/>
      </w:pPr>
      <w:r>
        <w:rPr>
          <w:rFonts w:ascii="IPAGothic" w:cs="IPAGothic" w:eastAsia="IPAGothic" w:hAnsi="IPAGothic"/>
          <w:b/>
          <w:bCs/>
          <w:color w:val="1F3864"/>
          <w:sz w:val="21"/>
          <w:szCs w:val="21"/>
        </w:rPr>
        <w:t xml:space="preserve">添付テクニカルレポートとの整合（部分整合）: </w:t>
      </w:r>
      <w:r>
        <w:rPr>
          <w:rFonts w:ascii="IPAGothic" w:cs="IPAGothic" w:eastAsia="IPAGothic" w:hAnsi="IPAGothic"/>
          <w:sz w:val="21"/>
          <w:szCs w:val="21"/>
        </w:rPr>
        <w:t xml:space="preserve">理論式の構造（線形抵抗劣化・√t容量劣化・Arrhenius 10℃2倍則・限界Li塩濃度）と設計成立範囲（放電後電圧≥2.5V かつ 限界Li塩濃度≤1.4M）は再現した。限界Li塩濃度の感度順位（レポートS28: 塗布量&gt;曲路率&gt;拡散係数）は、入力範囲・代入方針・領域で順位が動くため「部分整合」と位置づける（§3・§4.5(3)・§5.4）。</w:t>
      </w:r>
    </w:p>
    <w:p>
      <w:pPr>
        <w:pStyle w:val="Heading1"/>
        <w:spacing w:after="110" w:before="220"/>
      </w:pPr>
      <w:r>
        <w:rPr>
          <w:rFonts w:ascii="IPAGothic" w:cs="IPAGothic" w:eastAsia="IPAGothic" w:hAnsi="IPAGothic"/>
        </w:rPr>
        <w:t xml:space="preserve">1. 背景と目的</w:t>
      </w:r>
    </w:p>
    <w:p>
      <w:pPr>
        <w:spacing w:after="90" w:line="276"/>
      </w:pPr>
      <w:r>
        <w:rPr>
          <w:rFonts w:ascii="IPAGothic" w:cs="IPAGothic" w:eastAsia="IPAGothic" w:hAnsi="IPAGothic"/>
          <w:sz w:val="21"/>
          <w:szCs w:val="21"/>
        </w:rPr>
        <w:t xml:space="preserve">生成AI・データセンターの普及に伴い、高出力円筒リチウムイオン電池（2170で200〜300W／〜120s級）の需要が急増している。100W級以上の高出力では保存後の出力劣化が顕著になり、予測との乖離・劣化要因の推定が課題となっている。社内では定W放電領域のOCV線形性と電解液Li+濃度拡散限界に基づく保存劣化-定W放電の理論モデルが構築済みである。</w:t>
      </w:r>
    </w:p>
    <w:p>
      <w:pPr>
        <w:spacing w:after="90" w:line="276"/>
      </w:pPr>
      <w:r>
        <w:rPr>
          <w:rFonts w:ascii="IPAGothic" w:cs="IPAGothic" w:eastAsia="IPAGothic" w:hAnsi="IPAGothic"/>
          <w:sz w:val="21"/>
          <w:szCs w:val="21"/>
        </w:rPr>
        <w:t xml:space="preserve">チームの設計探索（Ansys optiSLang）における主力可視化は、(1) 2軸コンター図（制約線つき OK/NG 把握）と (2) 並行座標プロット（多次元フィルタリング）である。本検討の目的は、これに 第3の柱として感度解析の可視化 を加え、さらに保存劣化理論式を（サロゲート MOP/CoP を経由せず）直接叩いて感度を算出するプロトタイプを構築し、チームへ「動く絵」として提示することにある。</w:t>
      </w:r>
    </w:p>
    <w:p>
      <w:pPr>
        <w:pStyle w:val="Heading1"/>
        <w:spacing w:after="110" w:before="220"/>
      </w:pPr>
      <w:r>
        <w:rPr>
          <w:rFonts w:ascii="IPAGothic" w:cs="IPAGothic" w:eastAsia="IPAGothic" w:hAnsi="IPAGothic"/>
        </w:rPr>
        <w:t xml:space="preserve">2. 対象モデル：DC_v5 保存劣化理論式</w:t>
      </w:r>
    </w:p>
    <w:p>
      <w:pPr>
        <w:spacing w:after="90" w:line="276"/>
      </w:pPr>
      <w:r>
        <w:rPr>
          <w:rFonts w:ascii="IPAGothic" w:cs="IPAGothic" w:eastAsia="IPAGothic" w:hAnsi="IPAGothic"/>
          <w:sz w:val="21"/>
          <w:szCs w:val="21"/>
        </w:rPr>
        <w:t xml:space="preserve">中核は DC_v5 の実式 calc_dc_outputs()（calculators/DC_index/aging/dc_model.py）を無改変で用いる。定W放電の閉形式で放電後電圧と限界Li塩濃度を算出する。</w:t>
      </w:r>
    </w:p>
    <w:p>
      <w:pPr>
        <w:pStyle w:val="Heading2"/>
        <w:spacing w:after="110" w:before="220"/>
      </w:pPr>
      <w:r>
        <w:rPr>
          <w:rFonts w:ascii="IPAGothic" w:cs="IPAGothic" w:eastAsia="IPAGothic" w:hAnsi="IPAGothic"/>
        </w:rPr>
        <w:t xml:space="preserve">2.1 劣化の理論式</w:t>
      </w:r>
    </w:p>
    <w:p>
      <w:pPr>
        <w:pStyle w:val="ListParagraph"/>
        <w:numPr>
          <w:ilvl w:val="0"/>
          <w:numId w:val="1"/>
        </w:numPr>
        <w:spacing w:after="60" w:line="270"/>
      </w:pPr>
      <w:r>
        <w:rPr>
          <w:rFonts w:ascii="IPAGothic" w:cs="IPAGothic" w:eastAsia="IPAGothic" w:hAnsi="IPAGothic"/>
          <w:sz w:val="21"/>
          <w:szCs w:val="21"/>
        </w:rPr>
        <w:t xml:space="preserve">抵抗劣化（線形）: R(t) = R0 + r(T)·t  … 保存中の抵抗上昇は√より線形（レポート§4で実証）</w:t>
      </w:r>
    </w:p>
    <w:p>
      <w:pPr>
        <w:pStyle w:val="ListParagraph"/>
        <w:numPr>
          <w:ilvl w:val="0"/>
          <w:numId w:val="1"/>
        </w:numPr>
        <w:spacing w:after="60" w:line="270"/>
      </w:pPr>
      <w:r>
        <w:rPr>
          <w:rFonts w:ascii="IPAGothic" w:cs="IPAGothic" w:eastAsia="IPAGothic" w:hAnsi="IPAGothic"/>
          <w:sz w:val="21"/>
          <w:szCs w:val="21"/>
        </w:rPr>
        <w:t xml:space="preserve">容量劣化（√t）: a(t) = a0 + k(T)·√t  … 0.05C保存復帰率が√t・Arrheniusにのる（§3）</w:t>
      </w:r>
    </w:p>
    <w:p>
      <w:pPr>
        <w:pStyle w:val="ListParagraph"/>
        <w:numPr>
          <w:ilvl w:val="0"/>
          <w:numId w:val="1"/>
        </w:numPr>
        <w:spacing w:after="60" w:line="270"/>
      </w:pPr>
      <w:r>
        <w:rPr>
          <w:rFonts w:ascii="IPAGothic" w:cs="IPAGothic" w:eastAsia="IPAGothic" w:hAnsi="IPAGothic"/>
          <w:sz w:val="21"/>
          <w:szCs w:val="21"/>
        </w:rPr>
        <w:t xml:space="preserve">放電後電圧: y_end = b' + √(b'² − z·R − z·a·t/3600)  （z=放電電力, b'=b_ocv/2）</w:t>
      </w:r>
    </w:p>
    <w:p>
      <w:pPr>
        <w:pStyle w:val="ListParagraph"/>
        <w:numPr>
          <w:ilvl w:val="0"/>
          <w:numId w:val="1"/>
        </w:numPr>
        <w:spacing w:after="60" w:line="270"/>
      </w:pPr>
      <w:r>
        <w:rPr>
          <w:rFonts w:ascii="IPAGothic" w:cs="IPAGothic" w:eastAsia="IPAGothic" w:hAnsi="IPAGothic"/>
          <w:sz w:val="21"/>
          <w:szCs w:val="21"/>
        </w:rPr>
        <w:t xml:space="preserve">限界Li塩濃度: Cli = C_rate·Qareal /(Jlim·1000),  Jlim = 2zF·Dely·ε^γ / L （拡散限界指標）</w:t>
      </w:r>
    </w:p>
    <w:p>
      <w:pPr>
        <w:pStyle w:val="ListParagraph"/>
        <w:numPr>
          <w:ilvl w:val="0"/>
          <w:numId w:val="1"/>
        </w:numPr>
        <w:spacing w:after="60" w:line="270"/>
      </w:pPr>
      <w:r>
        <w:rPr>
          <w:rFonts w:ascii="IPAGothic" w:cs="IPAGothic" w:eastAsia="IPAGothic" w:hAnsi="IPAGothic"/>
          <w:sz w:val="21"/>
          <w:szCs w:val="21"/>
        </w:rPr>
        <w:t xml:space="preserve">劣化速度係数 k, r は使用温度 T の Arrhenius（10℃2倍則, Ea≈60 kJ/mol）で温度加速</w:t>
      </w:r>
    </w:p>
    <w:p>
      <w:pPr>
        <w:pStyle w:val="Heading2"/>
        <w:spacing w:after="110" w:before="220"/>
      </w:pPr>
      <w:r>
        <w:rPr>
          <w:rFonts w:ascii="IPAGothic" w:cs="IPAGothic" w:eastAsia="IPAGothic" w:hAnsi="IPAGothic"/>
        </w:rPr>
        <w:t xml:space="preserve">2.2 独立上流変数（DOEを張る対象）</w:t>
      </w:r>
    </w:p>
    <w:p>
      <w:pPr>
        <w:spacing w:after="90" w:line="276"/>
      </w:pPr>
      <w:r>
        <w:rPr>
          <w:rFonts w:ascii="IPAGothic" w:cs="IPAGothic" w:eastAsia="IPAGothic" w:hAnsi="IPAGothic"/>
          <w:sz w:val="21"/>
          <w:szCs w:val="21"/>
        </w:rPr>
        <w:t xml:space="preserve">Sobol分解の前提（入力独立）を満たすため、DOEは真に独立な上流変数のみに張り、派生量（塗布量K・空隙率ε・厚みL・面積容量・セル容量Typ・a0）は評価関数の内部（cell_design.py）で計算する。変数群は報告書 NCR2170JB Step2 の探索6因子＋使用温度に整合させた。</w:t>
      </w:r>
    </w:p>
    <w:tbl>
      <w:tblPr>
        <w:tblW w:type="dxa" w:w="8600"/>
        <w:tblBorders>
          <w:top w:val="single" w:color="AAAAAA" w:sz="4"/>
          <w:left w:val="single" w:color="AAAAAA" w:sz="4"/>
          <w:bottom w:val="single" w:color="AAAAAA" w:sz="4"/>
          <w:right w:val="single" w:color="AAAAAA" w:sz="4"/>
          <w:insideH w:val="single" w:color="AAAAAA" w:sz="4"/>
          <w:insideV w:val="single" w:color="AAAAAA" w:sz="4"/>
        </w:tblBorders>
      </w:tblPr>
      <w:tblGrid>
        <w:gridCol w:w="1700"/>
        <w:gridCol w:w="1500"/>
        <w:gridCol w:w="1400"/>
        <w:gridCol w:w="4000"/>
      </w:tblGrid>
      <w:tr>
        <w:trPr>
          <w:tblHeader/>
        </w:trPr>
        <w:tc>
          <w:tcPr>
            <w:tcW w:type="dxa" w:w="17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変数</w:t>
            </w:r>
          </w:p>
        </w:tc>
        <w:tc>
          <w:tcPr>
            <w:tcW w:type="dxa" w:w="15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分類</w:t>
            </w:r>
          </w:p>
        </w:tc>
        <w:tc>
          <w:tcPr>
            <w:tcW w:type="dxa" w:w="14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設計範囲</w:t>
            </w:r>
          </w:p>
        </w:tc>
        <w:tc>
          <w:tcPr>
            <w:tcW w:type="dxa" w:w="400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意味・役割</w:t>
            </w:r>
          </w:p>
        </w:tc>
      </w:tr>
      <w:tr>
        <w:trPr>
          <w:tblHeader w:val="false"/>
        </w:trPr>
        <w:tc>
          <w:tcPr>
            <w:tcW w:type="dxa" w:w="1700"/>
            <w:shd w:fill="F2F5FA" w:color="auto" w:val="clear"/>
            <w:tcMar>
              <w:top w:type="dxa" w:w="40"/>
              <w:left w:type="dxa" w:w="90"/>
              <w:bottom w:type="dxa" w:w="40"/>
              <w:right w:type="dxa" w:w="90"/>
            </w:tcMar>
          </w:tcPr>
          <w:p>
            <w:r>
              <w:rPr>
                <w:rFonts w:ascii="IPAGothic" w:cs="IPAGothic" w:eastAsia="IPAGothic" w:hAnsi="IPAGothic"/>
                <w:sz w:val="19"/>
                <w:szCs w:val="19"/>
              </w:rPr>
              <w:t xml:space="preserve">セル抵抗 R0</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設計因子</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3〜8 mΩ</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初期抵抗。放電後電圧を強く支配</w:t>
            </w:r>
          </w:p>
        </w:tc>
      </w:tr>
      <w:tr>
        <w:trPr>
          <w:tblHeader w:val="false"/>
        </w:trPr>
        <w:tc>
          <w:tcPr>
            <w:tcW w:type="dxa" w:w="1700"/>
            <w:shd w:fill="FFFFFF" w:color="auto" w:val="clear"/>
            <w:tcMar>
              <w:top w:type="dxa" w:w="40"/>
              <w:left w:type="dxa" w:w="90"/>
              <w:bottom w:type="dxa" w:w="40"/>
              <w:right w:type="dxa" w:w="90"/>
            </w:tcMar>
          </w:tcPr>
          <w:p>
            <w:r>
              <w:rPr>
                <w:rFonts w:ascii="IPAGothic" w:cs="IPAGothic" w:eastAsia="IPAGothic" w:hAnsi="IPAGothic"/>
                <w:sz w:val="19"/>
                <w:szCs w:val="19"/>
              </w:rPr>
              <w:t xml:space="preserve">正極塗布量</w:t>
            </w:r>
          </w:p>
        </w:tc>
        <w:tc>
          <w:tcPr>
            <w:tcW w:type="dxa" w:w="1500"/>
            <w:shd w:fill="FFFFFF" w:color="auto" w:val="clear"/>
            <w:tcMar>
              <w:top w:type="dxa" w:w="40"/>
              <w:left w:type="dxa" w:w="90"/>
              <w:bottom w:type="dxa" w:w="40"/>
              <w:right w:type="dxa" w:w="90"/>
            </w:tcMar>
          </w:tcPr>
          <w:p>
            <w:r>
              <w:rPr>
                <w:rFonts w:ascii="IPAGothic" w:cs="IPAGothic" w:eastAsia="IPAGothic" w:hAnsi="IPAGothic"/>
                <w:sz w:val="19"/>
                <w:szCs w:val="19"/>
              </w:rPr>
              <w:t xml:space="preserve">設計因子</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6〜13 mg/cm²</w:t>
            </w:r>
          </w:p>
        </w:tc>
        <w:tc>
          <w:tcPr>
            <w:tcW w:type="dxa" w:w="40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K・厚みL・容量に波及。両応答に効く</w:t>
            </w:r>
          </w:p>
        </w:tc>
      </w:tr>
      <w:tr>
        <w:trPr>
          <w:tblHeader w:val="false"/>
        </w:trPr>
        <w:tc>
          <w:tcPr>
            <w:tcW w:type="dxa" w:w="1700"/>
            <w:shd w:fill="F2F5FA" w:color="auto" w:val="clear"/>
            <w:tcMar>
              <w:top w:type="dxa" w:w="40"/>
              <w:left w:type="dxa" w:w="90"/>
              <w:bottom w:type="dxa" w:w="40"/>
              <w:right w:type="dxa" w:w="90"/>
            </w:tcMar>
          </w:tcPr>
          <w:p>
            <w:r>
              <w:rPr>
                <w:rFonts w:ascii="IPAGothic" w:cs="IPAGothic" w:eastAsia="IPAGothic" w:hAnsi="IPAGothic"/>
                <w:sz w:val="19"/>
                <w:szCs w:val="19"/>
              </w:rPr>
              <w:t xml:space="preserve">正極利用率</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材料物性</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0.190〜0.215 Ah/g</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活物質比容量。容量・a0に波及</w:t>
            </w:r>
          </w:p>
        </w:tc>
      </w:tr>
      <w:tr>
        <w:trPr>
          <w:tblHeader w:val="false"/>
        </w:trPr>
        <w:tc>
          <w:tcPr>
            <w:tcW w:type="dxa" w:w="1700"/>
            <w:shd w:fill="FFFFFF" w:color="auto" w:val="clear"/>
            <w:tcMar>
              <w:top w:type="dxa" w:w="40"/>
              <w:left w:type="dxa" w:w="90"/>
              <w:bottom w:type="dxa" w:w="40"/>
              <w:right w:type="dxa" w:w="90"/>
            </w:tcMar>
          </w:tcPr>
          <w:p>
            <w:r>
              <w:rPr>
                <w:rFonts w:ascii="IPAGothic" w:cs="IPAGothic" w:eastAsia="IPAGothic" w:hAnsi="IPAGothic"/>
                <w:sz w:val="19"/>
                <w:szCs w:val="19"/>
              </w:rPr>
              <w:t xml:space="preserve">活物質密度</w:t>
            </w:r>
          </w:p>
        </w:tc>
        <w:tc>
          <w:tcPr>
            <w:tcW w:type="dxa" w:w="1500"/>
            <w:shd w:fill="FFFFFF" w:color="auto" w:val="clear"/>
            <w:tcMar>
              <w:top w:type="dxa" w:w="40"/>
              <w:left w:type="dxa" w:w="90"/>
              <w:bottom w:type="dxa" w:w="40"/>
              <w:right w:type="dxa" w:w="90"/>
            </w:tcMar>
          </w:tcPr>
          <w:p>
            <w:r>
              <w:rPr>
                <w:rFonts w:ascii="IPAGothic" w:cs="IPAGothic" w:eastAsia="IPAGothic" w:hAnsi="IPAGothic"/>
                <w:sz w:val="19"/>
                <w:szCs w:val="19"/>
              </w:rPr>
              <w:t xml:space="preserve">設計因子</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3.2〜3.7 g/cm³</w:t>
            </w:r>
          </w:p>
        </w:tc>
        <w:tc>
          <w:tcPr>
            <w:tcW w:type="dxa" w:w="40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空隙率ε・厚みLに波及（拡散に効く）</w:t>
            </w:r>
          </w:p>
        </w:tc>
      </w:tr>
      <w:tr>
        <w:trPr>
          <w:tblHeader w:val="false"/>
        </w:trPr>
        <w:tc>
          <w:tcPr>
            <w:tcW w:type="dxa" w:w="1700"/>
            <w:shd w:fill="F2F5FA" w:color="auto" w:val="clear"/>
            <w:tcMar>
              <w:top w:type="dxa" w:w="40"/>
              <w:left w:type="dxa" w:w="90"/>
              <w:bottom w:type="dxa" w:w="40"/>
              <w:right w:type="dxa" w:w="90"/>
            </w:tcMar>
          </w:tcPr>
          <w:p>
            <w:r>
              <w:rPr>
                <w:rFonts w:ascii="IPAGothic" w:cs="IPAGothic" w:eastAsia="IPAGothic" w:hAnsi="IPAGothic"/>
                <w:sz w:val="19"/>
                <w:szCs w:val="19"/>
              </w:rPr>
              <w:t xml:space="preserve">電解液拡散係数</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材料物性</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3.2〜4.8e-10 m²/s</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拡散限界 Jlim を規定</w:t>
            </w:r>
          </w:p>
        </w:tc>
      </w:tr>
      <w:tr>
        <w:trPr>
          <w:tblHeader w:val="false"/>
        </w:trPr>
        <w:tc>
          <w:tcPr>
            <w:tcW w:type="dxa" w:w="1700"/>
            <w:shd w:fill="FFFFFF" w:color="auto" w:val="clear"/>
            <w:tcMar>
              <w:top w:type="dxa" w:w="40"/>
              <w:left w:type="dxa" w:w="90"/>
              <w:bottom w:type="dxa" w:w="40"/>
              <w:right w:type="dxa" w:w="90"/>
            </w:tcMar>
          </w:tcPr>
          <w:p>
            <w:r>
              <w:rPr>
                <w:rFonts w:ascii="IPAGothic" w:cs="IPAGothic" w:eastAsia="IPAGothic" w:hAnsi="IPAGothic"/>
                <w:sz w:val="19"/>
                <w:szCs w:val="19"/>
              </w:rPr>
              <w:t xml:space="preserve">正極曲路率 γ</w:t>
            </w:r>
          </w:p>
        </w:tc>
        <w:tc>
          <w:tcPr>
            <w:tcW w:type="dxa" w:w="1500"/>
            <w:shd w:fill="FFFFFF" w:color="auto" w:val="clear"/>
            <w:tcMar>
              <w:top w:type="dxa" w:w="40"/>
              <w:left w:type="dxa" w:w="90"/>
              <w:bottom w:type="dxa" w:w="40"/>
              <w:right w:type="dxa" w:w="90"/>
            </w:tcMar>
          </w:tcPr>
          <w:p>
            <w:r>
              <w:rPr>
                <w:rFonts w:ascii="IPAGothic" w:cs="IPAGothic" w:eastAsia="IPAGothic" w:hAnsi="IPAGothic"/>
                <w:sz w:val="19"/>
                <w:szCs w:val="19"/>
              </w:rPr>
              <w:t xml:space="preserve">材料物性</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1.4〜2.0</w:t>
            </w:r>
          </w:p>
        </w:tc>
        <w:tc>
          <w:tcPr>
            <w:tcW w:type="dxa" w:w="40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実効拡散 D_eff=Dely·ε^γ を規定</w:t>
            </w:r>
          </w:p>
        </w:tc>
      </w:tr>
      <w:tr>
        <w:trPr>
          <w:tblHeader w:val="false"/>
        </w:trPr>
        <w:tc>
          <w:tcPr>
            <w:tcW w:type="dxa" w:w="1700"/>
            <w:shd w:fill="F2F5FA" w:color="auto" w:val="clear"/>
            <w:tcMar>
              <w:top w:type="dxa" w:w="40"/>
              <w:left w:type="dxa" w:w="90"/>
              <w:bottom w:type="dxa" w:w="40"/>
              <w:right w:type="dxa" w:w="90"/>
            </w:tcMar>
          </w:tcPr>
          <w:p>
            <w:r>
              <w:rPr>
                <w:rFonts w:ascii="IPAGothic" w:cs="IPAGothic" w:eastAsia="IPAGothic" w:hAnsi="IPAGothic"/>
                <w:sz w:val="19"/>
                <w:szCs w:val="19"/>
              </w:rPr>
              <w:t xml:space="preserve">使用温度</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使用条件</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25〜50 ℃</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Arrhenius で劣化速度を加速</w:t>
            </w:r>
          </w:p>
        </w:tc>
      </w:tr>
    </w:tbl>
    <w:p>
      <w:pPr>
        <w:spacing w:after="90" w:line="276"/>
      </w:pPr>
      <w:r>
        <w:rPr>
          <w:rFonts w:ascii="IPAGothic" w:cs="IPAGothic" w:eastAsia="IPAGothic" w:hAnsi="IPAGothic"/>
          <w:b/>
          <w:bCs/>
          <w:sz w:val="19"/>
          <w:szCs w:val="19"/>
        </w:rPr>
        <w:t xml:space="preserve">注（B-4②）: </w:t>
      </w:r>
      <w:r>
        <w:rPr>
          <w:rFonts w:ascii="IPAGothic" w:cs="IPAGothic" w:eastAsia="IPAGothic" w:hAnsi="IPAGothic"/>
          <w:color w:val="595959"/>
          <w:sz w:val="19"/>
          <w:szCs w:val="19"/>
        </w:rPr>
        <w:t xml:space="preserve">派生量そのものの寄与を見る場合は Shapley effects 等が必要であり本スコープ外。派生量を独立にサンプリングすると物理的にありえない組合せを踏み、Sobol分解の解釈が破綻するため避けている。</w:t>
      </w:r>
    </w:p>
    <w:p>
      <w:pPr>
        <w:pStyle w:val="Heading1"/>
        <w:spacing w:after="110" w:before="220"/>
      </w:pPr>
      <w:r>
        <w:rPr>
          <w:rFonts w:ascii="IPAGothic" w:cs="IPAGothic" w:eastAsia="IPAGothic" w:hAnsi="IPAGothic"/>
        </w:rPr>
        <w:t xml:space="preserve">3. 理論モデルのレビュー（添付レポートとの整合性）</w:t>
      </w:r>
    </w:p>
    <w:p>
      <w:pPr>
        <w:spacing w:after="90" w:line="276"/>
      </w:pPr>
      <w:r>
        <w:rPr>
          <w:rFonts w:ascii="IPAGothic" w:cs="IPAGothic" w:eastAsia="IPAGothic" w:hAnsi="IPAGothic"/>
          <w:sz w:val="21"/>
          <w:szCs w:val="21"/>
        </w:rPr>
        <w:t xml:space="preserve">添付の社内テクニカルレポート（保存後出力劣化-理論とDC向け18機種／DC設計適用／NCR2170JB Step2）に照らし、実装モデルの妥当性を確認した。主要な整合点を下表に示す。</w:t>
      </w:r>
    </w:p>
    <w:tbl>
      <w:tblPr>
        <w:tblW w:type="dxa" w:w="9200"/>
        <w:tblBorders>
          <w:top w:val="single" w:color="AAAAAA" w:sz="4"/>
          <w:left w:val="single" w:color="AAAAAA" w:sz="4"/>
          <w:bottom w:val="single" w:color="AAAAAA" w:sz="4"/>
          <w:right w:val="single" w:color="AAAAAA" w:sz="4"/>
          <w:insideH w:val="single" w:color="AAAAAA" w:sz="4"/>
          <w:insideV w:val="single" w:color="AAAAAA" w:sz="4"/>
        </w:tblBorders>
      </w:tblPr>
      <w:tblGrid>
        <w:gridCol w:w="3400"/>
        <w:gridCol w:w="3600"/>
        <w:gridCol w:w="2200"/>
      </w:tblGrid>
      <w:tr>
        <w:trPr>
          <w:tblHeader/>
        </w:trPr>
        <w:tc>
          <w:tcPr>
            <w:tcW w:type="dxa" w:w="340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レポートの記述</w:t>
            </w:r>
          </w:p>
        </w:tc>
        <w:tc>
          <w:tcPr>
            <w:tcW w:type="dxa" w:w="360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実装での対応</w:t>
            </w:r>
          </w:p>
        </w:tc>
        <w:tc>
          <w:tcPr>
            <w:tcW w:type="dxa" w:w="22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判定</w:t>
            </w:r>
          </w:p>
        </w:tc>
      </w:tr>
      <w:tr>
        <w:trPr>
          <w:tblHeader w:val="false"/>
        </w:trPr>
        <w:tc>
          <w:tcPr>
            <w:tcW w:type="dxa" w:w="3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保存中の抵抗上昇は√より線形（+1mΩ/年想定）</w:t>
            </w:r>
          </w:p>
        </w:tc>
        <w:tc>
          <w:tcPr>
            <w:tcW w:type="dxa" w:w="36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R(t)=R0+r·t（線形）を採用</w:t>
            </w:r>
          </w:p>
        </w:tc>
        <w:tc>
          <w:tcPr>
            <w:tcW w:type="dxa" w:w="22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一致</w:t>
            </w:r>
          </w:p>
        </w:tc>
      </w:tr>
      <w:tr>
        <w:trPr>
          <w:tblHeader w:val="false"/>
        </w:trPr>
        <w:tc>
          <w:tcPr>
            <w:tcW w:type="dxa" w:w="3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容量復帰率は√t・Arrheniusプロット（10℃2倍則）</w:t>
            </w:r>
          </w:p>
        </w:tc>
        <w:tc>
          <w:tcPr>
            <w:tcW w:type="dxa" w:w="36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a(t)=a0+k·√t、kをArrhenius(Ea≈60kJ/mol)</w:t>
            </w:r>
          </w:p>
        </w:tc>
        <w:tc>
          <w:tcPr>
            <w:tcW w:type="dxa" w:w="220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一致</w:t>
            </w:r>
          </w:p>
        </w:tc>
      </w:tr>
      <w:tr>
        <w:trPr>
          <w:tblHeader w:val="false"/>
        </w:trPr>
        <w:tc>
          <w:tcPr>
            <w:tcW w:type="dxa" w:w="3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定W放電の放電後電圧一般式</w:t>
            </w:r>
          </w:p>
        </w:tc>
        <w:tc>
          <w:tcPr>
            <w:tcW w:type="dxa" w:w="36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y_end=b'+√(b'²−zR−zat/3600)</w:t>
            </w:r>
          </w:p>
        </w:tc>
        <w:tc>
          <w:tcPr>
            <w:tcW w:type="dxa" w:w="22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一致</w:t>
            </w:r>
          </w:p>
        </w:tc>
      </w:tr>
      <w:tr>
        <w:trPr>
          <w:tblHeader w:val="false"/>
        </w:trPr>
        <w:tc>
          <w:tcPr>
            <w:tcW w:type="dxa" w:w="3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限界Li塩濃度（無次元C-rate→拡散限界）</w:t>
            </w:r>
          </w:p>
        </w:tc>
        <w:tc>
          <w:tcPr>
            <w:tcW w:type="dxa" w:w="36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Cli=C_rate·Qareal/(Jlim·1000)</w:t>
            </w:r>
          </w:p>
        </w:tc>
        <w:tc>
          <w:tcPr>
            <w:tcW w:type="dxa" w:w="220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一致</w:t>
            </w:r>
          </w:p>
        </w:tc>
      </w:tr>
      <w:tr>
        <w:trPr>
          <w:tblHeader w:val="false"/>
        </w:trPr>
        <w:tc>
          <w:tcPr>
            <w:tcW w:type="dxa" w:w="3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抵抗上昇で限界Li塩濃度が上昇（S18/S35）</w:t>
            </w:r>
          </w:p>
        </w:tc>
        <w:tc>
          <w:tcPr>
            <w:tcW w:type="dxa" w:w="36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R(t)↑→C_rate↑→Cli(t)↑ を再現</w:t>
            </w:r>
          </w:p>
        </w:tc>
        <w:tc>
          <w:tcPr>
            <w:tcW w:type="dxa" w:w="22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一致</w:t>
            </w:r>
          </w:p>
        </w:tc>
      </w:tr>
      <w:tr>
        <w:trPr>
          <w:tblHeader w:val="false"/>
        </w:trPr>
        <w:tc>
          <w:tcPr>
            <w:tcW w:type="dxa" w:w="3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限界Li塩濃度の影響順位: 塗布量&gt;曲路率&gt;拡散係数（S28）</w:t>
            </w:r>
          </w:p>
        </w:tc>
        <w:tc>
          <w:tcPr>
            <w:tcW w:type="dxa" w:w="36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全域ST(design,median): 曲路率0.53/塗布量0.32/密度0.25。順位は範囲・代入・領域で変動</w:t>
            </w:r>
          </w:p>
        </w:tc>
        <w:tc>
          <w:tcPr>
            <w:tcW w:type="dxa" w:w="2200"/>
            <w:shd w:fill="FFFFFF" w:color="auto" w:val="clear"/>
            <w:tcMar>
              <w:top w:type="dxa" w:w="40"/>
              <w:left w:type="dxa" w:w="90"/>
              <w:bottom w:type="dxa" w:w="40"/>
              <w:right w:type="dxa" w:w="90"/>
            </w:tcMar>
          </w:tcPr>
          <w:p>
            <w:r>
              <w:rPr>
                <w:rFonts w:ascii="IPAGothic" w:cs="IPAGothic" w:eastAsia="IPAGothic" w:hAnsi="IPAGothic"/>
                <w:b/>
                <w:bCs/>
                <w:color w:val="B8860B"/>
                <w:sz w:val="19"/>
                <w:szCs w:val="19"/>
              </w:rPr>
              <w:t xml:space="preserve">部分整合（§3.2）</w:t>
            </w:r>
          </w:p>
        </w:tc>
      </w:tr>
      <w:tr>
        <w:trPr>
          <w:tblHeader w:val="false"/>
        </w:trPr>
        <w:tc>
          <w:tcPr>
            <w:tcW w:type="dxa" w:w="3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設計成立: 放電後電圧≥2.5V かつ 限界Li塩濃度≤1.4M（Step2）</w:t>
            </w:r>
          </w:p>
        </w:tc>
        <w:tc>
          <w:tcPr>
            <w:tcW w:type="dxa" w:w="36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同一制約でOK/NG・コンター定義</w:t>
            </w:r>
          </w:p>
        </w:tc>
        <w:tc>
          <w:tcPr>
            <w:tcW w:type="dxa" w:w="22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一致</w:t>
            </w:r>
          </w:p>
        </w:tc>
      </w:tr>
      <w:tr>
        <w:trPr>
          <w:tblHeader w:val="false"/>
        </w:trPr>
        <w:tc>
          <w:tcPr>
            <w:tcW w:type="dxa" w:w="3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300Wは非常に厳しい（容量・発熱）</w:t>
            </w:r>
          </w:p>
        </w:tc>
        <w:tc>
          <w:tcPr>
            <w:tcW w:type="dxa" w:w="36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低塗布量・高温で300W維持不可を無効化</w:t>
            </w:r>
          </w:p>
        </w:tc>
        <w:tc>
          <w:tcPr>
            <w:tcW w:type="dxa" w:w="220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一致</w:t>
            </w:r>
          </w:p>
        </w:tc>
      </w:tr>
    </w:tbl>
    <w:p>
      <w:pPr>
        <w:pStyle w:val="Heading2"/>
        <w:spacing w:after="110" w:before="220"/>
      </w:pPr>
      <w:r>
        <w:rPr>
          <w:rFonts w:ascii="IPAGothic" w:cs="IPAGothic" w:eastAsia="IPAGothic" w:hAnsi="IPAGothic"/>
        </w:rPr>
        <w:t xml:space="preserve">3.1 レビューで反映した改善</w:t>
      </w:r>
    </w:p>
    <w:p>
      <w:pPr>
        <w:pStyle w:val="ListParagraph"/>
        <w:numPr>
          <w:ilvl w:val="0"/>
          <w:numId w:val="1"/>
        </w:numPr>
        <w:spacing w:after="60" w:line="270"/>
      </w:pPr>
      <w:r>
        <w:rPr>
          <w:rFonts w:ascii="IPAGothic" w:cs="IPAGothic" w:eastAsia="IPAGothic" w:hAnsi="IPAGothic"/>
          <w:sz w:val="21"/>
          <w:szCs w:val="21"/>
        </w:rPr>
        <w:t xml:space="preserve">放電開始電圧を物理値 b'=b_ocv/2=2.0V に修正 → 放電後電圧が物理域2.5〜4Vに（レポートの放電後電圧域と一致）</w:t>
      </w:r>
    </w:p>
    <w:p>
      <w:pPr>
        <w:pStyle w:val="ListParagraph"/>
        <w:numPr>
          <w:ilvl w:val="0"/>
          <w:numId w:val="1"/>
        </w:numPr>
        <w:spacing w:after="60" w:line="270"/>
      </w:pPr>
      <w:r>
        <w:rPr>
          <w:rFonts w:ascii="IPAGothic" w:cs="IPAGothic" w:eastAsia="IPAGothic" w:hAnsi="IPAGothic"/>
          <w:sz w:val="21"/>
          <w:szCs w:val="21"/>
        </w:rPr>
        <w:t xml:space="preserve">主応答を「放電後電圧」「限界Li塩濃度」に再定義（＝レポートの設計成立条件そのもの）</w:t>
      </w:r>
    </w:p>
    <w:p>
      <w:pPr>
        <w:pStyle w:val="ListParagraph"/>
        <w:numPr>
          <w:ilvl w:val="0"/>
          <w:numId w:val="1"/>
        </w:numPr>
        <w:spacing w:after="60" w:line="270"/>
      </w:pPr>
      <w:r>
        <w:rPr>
          <w:rFonts w:ascii="IPAGothic" w:cs="IPAGothic" w:eastAsia="IPAGothic" w:hAnsi="IPAGothic"/>
          <w:sz w:val="21"/>
          <w:szCs w:val="21"/>
        </w:rPr>
        <w:t xml:space="preserve">独立変数をレポート6設計因子＋使用温度に整合。制約つきコンターを セル抵抗×塗布量 に</w:t>
      </w:r>
    </w:p>
    <w:p>
      <w:pPr>
        <w:pStyle w:val="ListParagraph"/>
        <w:numPr>
          <w:ilvl w:val="0"/>
          <w:numId w:val="1"/>
        </w:numPr>
        <w:spacing w:after="60" w:line="270"/>
      </w:pPr>
      <w:r>
        <w:rPr>
          <w:rFonts w:ascii="IPAGothic" w:cs="IPAGothic" w:eastAsia="IPAGothic" w:hAnsi="IPAGothic"/>
          <w:sz w:val="21"/>
          <w:szCs w:val="21"/>
        </w:rPr>
        <w:t xml:space="preserve">2劣化モード（抵抗劣化⇄拡散劣化）を無次元指標 Cli/C_Li_design で判定・可視化</w:t>
      </w:r>
    </w:p>
    <w:p>
      <w:pPr>
        <w:pStyle w:val="Heading2"/>
        <w:spacing w:after="110" w:before="220"/>
      </w:pPr>
      <w:r>
        <w:rPr>
          <w:rFonts w:ascii="IPAGothic" w:cs="IPAGothic" w:eastAsia="IPAGothic" w:hAnsi="IPAGothic"/>
        </w:rPr>
        <w:t xml:space="preserve">3.2 感度順位の「部分整合」判定の根拠（C-2補）</w:t>
      </w:r>
    </w:p>
    <w:p>
      <w:pPr>
        <w:spacing w:after="90" w:line="276"/>
      </w:pPr>
      <w:r>
        <w:rPr>
          <w:rFonts w:ascii="IPAGothic" w:cs="IPAGothic" w:eastAsia="IPAGothic" w:hAnsi="IPAGothic"/>
          <w:sz w:val="21"/>
          <w:szCs w:val="21"/>
        </w:rPr>
        <w:t xml:space="preserve">レポートS28の順位（塗布量&gt;曲路率&gt;拡散係数）と本実装の全域感度が完全一致しない理由を、成立する説明のみに整理する。主説明は代入方針依存性である。</w:t>
      </w:r>
    </w:p>
    <w:p>
      <w:pPr>
        <w:pStyle w:val="ListParagraph"/>
        <w:numPr>
          <w:ilvl w:val="0"/>
          <w:numId w:val="1"/>
        </w:numPr>
        <w:spacing w:after="60" w:line="270"/>
      </w:pPr>
      <w:r>
        <w:rPr>
          <w:rFonts w:ascii="IPAGothic" w:cs="IPAGothic" w:eastAsia="IPAGothic" w:hAnsi="IPAGothic"/>
          <w:sz w:val="21"/>
          <w:szCs w:val="21"/>
        </w:rPr>
        <w:t xml:space="preserve">主説明＝代入方針依存性（§4.5(3)）: 限界Li塩濃度の ST 上位は median と penalty で入れ替わる（median: 曲路率&gt;塗布量&gt;密度／penalty: 塗布量&gt;抵抗&gt;温度）。penalty は無効化の原因（塗布量・温度）を最悪値で埋めるため塗布量の寄与が跳ね上がり、レポートの「塗布量首位」に近づく。すなわち順位は無効サンプルの扱い方に従属する。</w:t>
      </w:r>
    </w:p>
    <w:p>
      <w:pPr>
        <w:pStyle w:val="ListParagraph"/>
        <w:numPr>
          <w:ilvl w:val="0"/>
          <w:numId w:val="1"/>
        </w:numPr>
        <w:spacing w:after="60" w:line="270"/>
      </w:pPr>
      <w:r>
        <w:rPr>
          <w:rFonts w:ascii="IPAGothic" w:cs="IPAGothic" w:eastAsia="IPAGothic" w:hAnsi="IPAGothic"/>
          <w:sz w:val="21"/>
          <w:szCs w:val="21"/>
        </w:rPr>
        <w:t xml:space="preserve">補助説明＝範囲依存性（§5.5 の E-3 で検証）: 曲路率の設計範囲 1.4〜2.0（幅0.60）はばらつき3σ（約0.58）と同程度で過大ではないが、より狭い現実的範囲（1.5〜1.7）に絞ると曲路率の順位が下がり、密度0.36/塗布量0.35/拡散係数0.25 となってレポートS28に近づく。</w:t>
      </w:r>
    </w:p>
    <w:p>
      <w:pPr>
        <w:spacing w:after="90" w:line="276"/>
      </w:pPr>
      <w:r>
        <w:rPr>
          <w:rFonts w:ascii="IPAGothic" w:cs="IPAGothic" w:eastAsia="IPAGothic" w:hAnsi="IPAGothic"/>
          <w:b/>
          <w:bCs/>
          <w:color w:val="B4472C"/>
          <w:sz w:val="19"/>
          <w:szCs w:val="19"/>
        </w:rPr>
        <w:t xml:space="preserve">不採用とした説明: </w:t>
      </w:r>
      <w:r>
        <w:rPr>
          <w:rFonts w:ascii="IPAGothic" w:cs="IPAGothic" w:eastAsia="IPAGothic" w:hAnsi="IPAGothic"/>
          <w:color w:val="595959"/>
          <w:sz w:val="19"/>
          <w:szCs w:val="19"/>
        </w:rPr>
        <w:t xml:space="preserve">第2版までにあった「variation なら拡散係数が3位に上がる」という説明は、実際の variation 感度（曲路率0.38/温度0.28/密度0.27）で拡散係数が3位に来ないため成立せず、削除した。</w:t>
      </w:r>
    </w:p>
    <w:p>
      <w:pPr>
        <w:pStyle w:val="Heading1"/>
        <w:spacing w:after="110" w:before="220"/>
      </w:pPr>
      <w:r>
        <w:rPr>
          <w:rFonts w:ascii="IPAGothic" w:cs="IPAGothic" w:eastAsia="IPAGothic" w:hAnsi="IPAGothic"/>
        </w:rPr>
        <w:t xml:space="preserve">4. 感度解析の方法</w:t>
      </w:r>
    </w:p>
    <w:p>
      <w:pPr>
        <w:spacing w:after="90" w:line="276"/>
      </w:pPr>
      <w:r>
        <w:rPr>
          <w:rFonts w:ascii="IPAGothic" w:cs="IPAGothic" w:eastAsia="IPAGothic" w:hAnsi="IPAGothic"/>
          <w:sz w:val="21"/>
          <w:szCs w:val="21"/>
        </w:rPr>
        <w:t xml:space="preserve">SALib の Saltelli サンプリング＋Sobol解析により、一次感度 S1 と総合効果 ST を算出する。理論式は評価が安価なため、サロゲート（MOP/CoP）を経由せず直接モンテカルロで叩く。これにより代理モデルの近似誤差が指標に混入せず、「サロゲート誤差か物理か」の切り分け問題も消える。</w:t>
      </w:r>
    </w:p>
    <w:p>
      <w:pPr>
        <w:spacing w:after="90" w:line="276"/>
      </w:pPr>
      <w:r>
        <w:rPr>
          <w:rFonts w:ascii="IPAGothic" w:cs="IPAGothic" w:eastAsia="IPAGothic" w:hAnsi="IPAGothic"/>
          <w:b/>
          <w:bCs/>
          <w:color w:val="1F3864"/>
          <w:sz w:val="21"/>
          <w:szCs w:val="21"/>
        </w:rPr>
        <w:t xml:space="preserve">実装した4要件: </w:t>
      </w:r>
    </w:p>
    <w:p>
      <w:pPr>
        <w:pStyle w:val="ListParagraph"/>
        <w:numPr>
          <w:ilvl w:val="0"/>
          <w:numId w:val="1"/>
        </w:numPr>
        <w:spacing w:after="60" w:line="270"/>
      </w:pPr>
      <w:r>
        <w:rPr>
          <w:rFonts w:ascii="IPAGothic" w:cs="IPAGothic" w:eastAsia="IPAGothic" w:hAnsi="IPAGothic"/>
          <w:sz w:val="21"/>
          <w:szCs w:val="21"/>
        </w:rPr>
        <w:t xml:space="preserve">① 入力分布モード切替: design（設定上下限の一様分布／設計探索用） と variation（実工程3σの正規分布／ばらつきリスク評価用）。どちらのモードで出した指標かを図に明記。</w:t>
      </w:r>
    </w:p>
    <w:p>
      <w:pPr>
        <w:pStyle w:val="ListParagraph"/>
        <w:numPr>
          <w:ilvl w:val="0"/>
          <w:numId w:val="1"/>
        </w:numPr>
        <w:spacing w:after="60" w:line="270"/>
      </w:pPr>
      <w:r>
        <w:rPr>
          <w:rFonts w:ascii="IPAGothic" w:cs="IPAGothic" w:eastAsia="IPAGothic" w:hAnsi="IPAGothic"/>
          <w:sz w:val="21"/>
          <w:szCs w:val="21"/>
        </w:rPr>
        <w:t xml:space="preserve">② 独立性: 独立な上流変数にのみDOEを張り、セル設計計算は評価関数の内部に含める。</w:t>
      </w:r>
    </w:p>
    <w:p>
      <w:pPr>
        <w:pStyle w:val="ListParagraph"/>
        <w:numPr>
          <w:ilvl w:val="0"/>
          <w:numId w:val="1"/>
        </w:numPr>
        <w:spacing w:after="60" w:line="270"/>
      </w:pPr>
      <w:r>
        <w:rPr>
          <w:rFonts w:ascii="IPAGothic" w:cs="IPAGothic" w:eastAsia="IPAGothic" w:hAnsi="IPAGothic"/>
          <w:sz w:val="21"/>
          <w:szCs w:val="21"/>
        </w:rPr>
        <w:t xml:space="preserve">③ 時間依存性: 評価時点を複数指定し、感度指標の時間推移を出力（支配因子の変遷）。</w:t>
      </w:r>
    </w:p>
    <w:p>
      <w:pPr>
        <w:pStyle w:val="ListParagraph"/>
        <w:numPr>
          <w:ilvl w:val="0"/>
          <w:numId w:val="1"/>
        </w:numPr>
        <w:spacing w:after="60" w:line="270"/>
      </w:pPr>
      <w:r>
        <w:rPr>
          <w:rFonts w:ascii="IPAGothic" w:cs="IPAGothic" w:eastAsia="IPAGothic" w:hAnsi="IPAGothic"/>
          <w:sz w:val="21"/>
          <w:szCs w:val="21"/>
        </w:rPr>
        <w:t xml:space="preserve">④ 物理妥当域マスキング: 300W維持不可（判別式負）・温度外挿・非物理値を無効サンプルとして検出し、除外率を記録・警告（基準5年で約28%、8年で最大約39%）。処理方針は §4.5 に明記。</w:t>
      </w:r>
    </w:p>
    <w:p>
      <w:pPr>
        <w:pStyle w:val="Heading2"/>
        <w:spacing w:after="110" w:before="220"/>
      </w:pPr>
      <w:r>
        <w:rPr>
          <w:rFonts w:ascii="IPAGothic" w:cs="IPAGothic" w:eastAsia="IPAGothic" w:hAnsi="IPAGothic"/>
        </w:rPr>
        <w:t xml:space="preserve">4.5 数値信頼性の確認</w:t>
      </w:r>
    </w:p>
    <w:p>
      <w:pPr>
        <w:spacing w:after="90" w:line="276"/>
      </w:pPr>
      <w:r>
        <w:rPr>
          <w:rFonts w:ascii="IPAGothic" w:cs="IPAGothic" w:eastAsia="IPAGothic" w:hAnsi="IPAGothic"/>
          <w:sz w:val="21"/>
          <w:szCs w:val="21"/>
        </w:rPr>
        <w:t xml:space="preserve">指標を読者が信用してよいか自分で判断できるよう、収束・除外率・代入方針・分母定義をまとめる。本解析の主感度・ネットワーク・収束は N=4096（Saltelli 65,536点／モード。2次指標 S2 を含む）、時間推移は N=2048（30,720点／時点）、モード割合は N=1024（9,216点／時点）で算出した。DC_v5 実式の1点あたり評価時間は約0.66 ms（実測）である。</w:t>
      </w:r>
    </w:p>
    <w:p>
      <w:pPr>
        <w:spacing w:after="90" w:line="276"/>
      </w:pPr>
      <w:r>
        <w:rPr>
          <w:rFonts w:ascii="IPAGothic" w:cs="IPAGothic" w:eastAsia="IPAGothic" w:hAnsi="IPAGothic"/>
          <w:b/>
          <w:bCs/>
          <w:sz w:val="19"/>
          <w:szCs w:val="19"/>
        </w:rPr>
        <w:t xml:space="preserve">注（E-5, N の使い分け）: </w:t>
      </w:r>
      <w:r>
        <w:rPr>
          <w:rFonts w:ascii="IPAGothic" w:cs="IPAGothic" w:eastAsia="IPAGothic" w:hAnsi="IPAGothic"/>
          <w:color w:val="595959"/>
          <w:sz w:val="19"/>
          <w:szCs w:val="19"/>
        </w:rPr>
        <w:t xml:space="preserve">N は解析目的で変える。2次指標 S2 を要する図（主感度・ネットワーク・収束）は Saltelli 行列が (2d+2)N と大きくなるため精度確保に N=4096 を用い、S2 不要で多時点を回す図（時間推移・モード割合）は N を下げて計算量を抑えた。各図キャプションに N と実評価点数を併記し、本文と一致させている。</w:t>
      </w:r>
    </w:p>
    <w:p>
      <w:pPr>
        <w:spacing w:after="90" w:line="276"/>
      </w:pPr>
      <w:r>
        <w:rPr>
          <w:rFonts w:ascii="IPAGothic" w:cs="IPAGothic" w:eastAsia="IPAGothic" w:hAnsi="IPAGothic"/>
          <w:b/>
          <w:bCs/>
          <w:color w:val="1F3864"/>
          <w:sz w:val="20"/>
          <w:szCs w:val="20"/>
        </w:rPr>
        <w:t xml:space="preserve">(1) 収束と信頼区間: </w:t>
      </w:r>
      <w:r>
        <w:rPr>
          <w:rFonts w:ascii="IPAGothic" w:cs="IPAGothic" w:eastAsia="IPAGothic" w:hAnsi="IPAGothic"/>
          <w:sz w:val="20"/>
          <w:szCs w:val="20"/>
        </w:rPr>
        <w:t xml:space="preserve">全ての棒グラフに 95%信頼区間を誤差棒で表示した。評価点数を増やすと信頼区間が縮小し順位が確定する（例：限界Li塩濃度の曲路率 ST は 1,152点で 0.48±0.16 → 36,864点で 0.50±0.03）。交互作用ネットワーク図では、2次指標 S2 の 95%信頼区間が 0 を跨ぐ（非有意な）エッジを破線・淡色に落とし、ノイズを太い線として誤読させないようにした。</w:t>
      </w:r>
    </w:p>
    <w:p>
      <w:pPr>
        <w:spacing w:after="40" w:before="100"/>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7657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図0. Sobol指標の収束（限界Li塩濃度, design, 5年）。横軸=実際に評価した点数（対数）、縦軸=ST、誤差棒=95%CI。N≈2,000（約3万点）以上で順位が確定する。</w:t>
      </w:r>
    </w:p>
    <w:p>
      <w:pPr>
        <w:spacing w:after="90" w:line="276"/>
      </w:pPr>
      <w:r>
        <w:rPr>
          <w:rFonts w:ascii="IPAGothic" w:cs="IPAGothic" w:eastAsia="IPAGothic" w:hAnsi="IPAGothic"/>
          <w:b/>
          <w:bCs/>
          <w:color w:val="1F3864"/>
          <w:sz w:val="20"/>
          <w:szCs w:val="20"/>
        </w:rPr>
        <w:t xml:space="preserve">(2) 無効サンプルの処理: </w:t>
      </w:r>
      <w:r>
        <w:rPr>
          <w:rFonts w:ascii="IPAGothic" w:cs="IPAGothic" w:eastAsia="IPAGothic" w:hAnsi="IPAGothic"/>
          <w:sz w:val="20"/>
          <w:szCs w:val="20"/>
        </w:rPr>
        <w:t xml:space="preserve">無効サンプルの扱いを明示的な引数 invalid_policy（median=中央値代入／penalty=worst-case代入／report_only）で選択できるようにした。既定は median。ただし欠測はランダムではなく、300W維持不可になるのは低塗布量・高温の個体であり、まさに感度を測りたい因子と強く相関する。したがって代入は指標を系統的に歪め得る。</w:t>
      </w:r>
    </w:p>
    <w:p>
      <w:pPr>
        <w:spacing w:after="90" w:line="276"/>
      </w:pPr>
      <w:r>
        <w:rPr>
          <w:rFonts w:ascii="IPAGothic" w:cs="IPAGothic" w:eastAsia="IPAGothic" w:hAnsi="IPAGothic"/>
          <w:b/>
          <w:bCs/>
          <w:color w:val="B4472C"/>
          <w:sz w:val="20"/>
          <w:szCs w:val="20"/>
        </w:rPr>
        <w:t xml:space="preserve">(3) 代入方針のロバスト性【本検討で判明した数値的注意点】: </w:t>
      </w:r>
      <w:r>
        <w:rPr>
          <w:rFonts w:ascii="IPAGothic" w:cs="IPAGothic" w:eastAsia="IPAGothic" w:hAnsi="IPAGothic"/>
          <w:sz w:val="20"/>
          <w:szCs w:val="20"/>
        </w:rPr>
        <w:t xml:space="preserve">限界Li塩濃度の全域 ST 上位を median と penalty で比較すると順位が入れ替わった（median: 曲路率&gt;塗布量&gt;密度／penalty: 塗布量&gt;抵抗&gt;温度。top3 非安定）。penalty は「無効化の原因（塗布量・温度）」を最悪値で埋めるため、Cli の大きさを決める因子（曲路率）と成立可否を決める因子を混同する。よって全域の限界Li塩濃度感度は「成立する設計に条件づけた指標」と解釈し、成立可否そのものは次の二値応答で別途分解するのが正しい。なお §5.4 の核心（領域条件付きの曲路率→密度の入れ替わり）は、この不安定性の影響下にありながらも3手法で再現することを F-1 検証で確認した（§5.4）。</w:t>
      </w:r>
    </w:p>
    <w:p>
      <w:pPr>
        <w:spacing w:after="90" w:line="276"/>
      </w:pPr>
      <w:r>
        <w:rPr>
          <w:rFonts w:ascii="IPAGothic" w:cs="IPAGothic" w:eastAsia="IPAGothic" w:hAnsi="IPAGothic"/>
          <w:b/>
          <w:bCs/>
          <w:color w:val="1F3864"/>
          <w:sz w:val="20"/>
          <w:szCs w:val="20"/>
        </w:rPr>
        <w:t xml:space="preserve">(4) 二値応答「300W維持可否」の追加: </w:t>
      </w:r>
      <w:r>
        <w:rPr>
          <w:rFonts w:ascii="IPAGothic" w:cs="IPAGothic" w:eastAsia="IPAGothic" w:hAnsi="IPAGothic"/>
          <w:sz w:val="20"/>
          <w:szCs w:val="20"/>
        </w:rPr>
        <w:t xml:space="preserve">300W維持の成否（0/1）を新しい応答として追加した。これは全域で定義されるため代入が不要で、欠測バイアスの影響を受けない。「どの因子が電力維持の成否を支配するか」に直接答え、有効率の時系列（84%→61%）の因子分解にあたる。結果は塗布量・セル抵抗・使用温度が支配（§5.1 参照）。</w:t>
      </w:r>
    </w:p>
    <w:p>
      <w:pPr>
        <w:spacing w:after="90" w:line="276"/>
      </w:pPr>
      <w:r>
        <w:rPr>
          <w:rFonts w:ascii="IPAGothic" w:cs="IPAGothic" w:eastAsia="IPAGothic" w:hAnsi="IPAGothic"/>
          <w:b/>
          <w:bCs/>
          <w:color w:val="1F3864"/>
          <w:sz w:val="20"/>
          <w:szCs w:val="20"/>
        </w:rPr>
        <w:t xml:space="preserve">(5) 母集団比率の分母: </w:t>
      </w:r>
      <w:r>
        <w:rPr>
          <w:rFonts w:ascii="IPAGothic" w:cs="IPAGothic" w:eastAsia="IPAGothic" w:hAnsi="IPAGothic"/>
          <w:sz w:val="20"/>
          <w:szCs w:val="20"/>
        </w:rPr>
        <w:t xml:space="preserve">拡散劣化モード割合を「全サンプル基準」と「有効サンプル基準」の2分母で併記した（図3・図3補）。8年時点で 42%（全基準）に対し 68%（有効基準）と乖離する。脱落するのは高塗布量＝拡散モードに落ちやすい個体なので、有効基準は生存者バイアスで過大評価となる。この乖離自体が報告すべき結果である（§5.2 の E-4 参照）。</w:t>
      </w:r>
    </w:p>
    <w:p>
      <w:pPr>
        <w:pStyle w:val="Heading1"/>
        <w:spacing w:after="110" w:before="220"/>
      </w:pPr>
      <w:r>
        <w:rPr>
          <w:rFonts w:ascii="IPAGothic" w:cs="IPAGothic" w:eastAsia="IPAGothic" w:hAnsi="IPAGothic"/>
        </w:rPr>
        <w:t xml:space="preserve">5. 結果</w:t>
      </w:r>
    </w:p>
    <w:p>
      <w:pPr>
        <w:pStyle w:val="Heading2"/>
        <w:spacing w:after="110" w:before="220"/>
      </w:pPr>
      <w:r>
        <w:rPr>
          <w:rFonts w:ascii="IPAGothic" w:cs="IPAGothic" w:eastAsia="IPAGothic" w:hAnsi="IPAGothic"/>
        </w:rPr>
        <w:t xml:space="preserve">5.1 応答ごとに支配因子が異なる</w:t>
      </w:r>
    </w:p>
    <w:p>
      <w:pPr>
        <w:spacing w:after="90" w:line="276"/>
      </w:pPr>
      <w:r>
        <w:rPr>
          <w:rFonts w:ascii="IPAGothic" w:cs="IPAGothic" w:eastAsia="IPAGothic" w:hAnsi="IPAGothic"/>
          <w:sz w:val="21"/>
          <w:szCs w:val="21"/>
        </w:rPr>
        <w:t xml:space="preserve">放電後電圧（抵抗劣化モードの指標）、限界Li塩濃度（拡散劣化モードの指標）、および300W維持可否（二値＝電力維持の成否）の3応答で、支配因子が明確に分離する。放電後電圧と維持可否は 塗布量・セル抵抗・使用温度 が支配し、限界Li塩濃度は 曲路率・塗布量・活物質密度 が支配する。すべて N=4096（65,536点）、誤差棒は95%信頼区間。</w:t>
      </w:r>
    </w:p>
    <w:p>
      <w:pPr>
        <w:spacing w:after="40" w:before="100"/>
        <w:jc w:val="center"/>
      </w:pPr>
      <w:r>
        <w:drawing>
          <wp:inline distT="0" distB="0" distL="0" distR="0">
            <wp:extent cx="6096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42912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図1. Sobol感度（3応答×2分布モード, design, 5年, N=4096＝65,536点, 誤差棒=95%CI）。上=放電後電圧、中=限界Li塩濃度、下=300W維持可否（二値・代入不要）。左=design、右=variation。各パネルに分布モード・評価時点・N・代入方針・有効率を明記。</w:t>
      </w:r>
    </w:p>
    <w:tbl>
      <w:tblPr>
        <w:tblW w:type="dxa" w:w="9200"/>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3450"/>
        <w:gridCol w:w="3250"/>
      </w:tblGrid>
      <w:tr>
        <w:trPr>
          <w:tblHeader/>
        </w:trPr>
        <w:tc>
          <w:tcPr>
            <w:tcW w:type="dxa" w:w="250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応答（モード）</w:t>
            </w:r>
          </w:p>
        </w:tc>
        <w:tc>
          <w:tcPr>
            <w:tcW w:type="dxa" w:w="345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design での ST 上位</w:t>
            </w:r>
          </w:p>
        </w:tc>
        <w:tc>
          <w:tcPr>
            <w:tcW w:type="dxa" w:w="325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variation での ST 上位</w:t>
            </w:r>
          </w:p>
        </w:tc>
      </w:tr>
      <w:tr>
        <w:trPr>
          <w:tblHeader w:val="false"/>
        </w:trPr>
        <w:tc>
          <w:tcPr>
            <w:tcW w:type="dxa" w:w="25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放電後電圧（抵抗劣化）</w:t>
            </w:r>
          </w:p>
        </w:tc>
        <w:tc>
          <w:tcPr>
            <w:tcW w:type="dxa" w:w="345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塗布量0.93 / セル抵抗0.54 / 温度0.39</w:t>
            </w:r>
          </w:p>
        </w:tc>
        <w:tc>
          <w:tcPr>
            <w:tcW w:type="dxa" w:w="325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温度0.75 / 塗布量0.57 / セル抵抗0.47</w:t>
            </w:r>
          </w:p>
        </w:tc>
      </w:tr>
      <w:tr>
        <w:trPr>
          <w:tblHeader w:val="false"/>
        </w:trPr>
        <w:tc>
          <w:tcPr>
            <w:tcW w:type="dxa" w:w="25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限界Li塩濃度（拡散劣化）</w:t>
            </w:r>
          </w:p>
        </w:tc>
        <w:tc>
          <w:tcPr>
            <w:tcW w:type="dxa" w:w="345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曲路率0.53 / 塗布量0.32 / 密度0.25</w:t>
            </w:r>
          </w:p>
        </w:tc>
        <w:tc>
          <w:tcPr>
            <w:tcW w:type="dxa" w:w="325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曲路率0.38 / 温度0.28 / 密度0.27</w:t>
            </w:r>
          </w:p>
        </w:tc>
      </w:tr>
      <w:tr>
        <w:trPr>
          <w:tblHeader w:val="false"/>
        </w:trPr>
        <w:tc>
          <w:tcPr>
            <w:tcW w:type="dxa" w:w="25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300W維持可否（二値, 代入不要）</w:t>
            </w:r>
          </w:p>
        </w:tc>
        <w:tc>
          <w:tcPr>
            <w:tcW w:type="dxa" w:w="345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塗布量0.81 / セル抵抗0.46 / 温度0.30</w:t>
            </w:r>
          </w:p>
        </w:tc>
        <w:tc>
          <w:tcPr>
            <w:tcW w:type="dxa" w:w="325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温度0.79 / 塗布量0.39 / セル抵抗0.31</w:t>
            </w:r>
          </w:p>
        </w:tc>
      </w:tr>
    </w:tbl>
    <w:p>
      <w:pPr>
        <w:spacing w:after="90" w:line="276"/>
      </w:pPr>
      <w:r>
        <w:rPr>
          <w:rFonts w:ascii="IPAGothic" w:cs="IPAGothic" w:eastAsia="IPAGothic" w:hAnsi="IPAGothic"/>
          <w:b/>
          <w:bCs/>
          <w:sz w:val="19"/>
          <w:szCs w:val="19"/>
        </w:rPr>
        <w:t xml:space="preserve">分布モードで順位が変わる: </w:t>
      </w:r>
      <w:r>
        <w:rPr>
          <w:rFonts w:ascii="IPAGothic" w:cs="IPAGothic" w:eastAsia="IPAGothic" w:hAnsi="IPAGothic"/>
          <w:color w:val="595959"/>
          <w:sz w:val="19"/>
          <w:szCs w:val="19"/>
        </w:rPr>
        <w:t xml:space="preserve">variation（ばらつき）では使用温度の寄与が跳ね上がり、放電後電圧・維持可否とも温度が首位になる。設計探索（design）で「温度は自分で振らないから効かない」と見えても、ばらつきリスク評価では温度が主役になる。Sobol指標は与えた入力分布に完全従属するため、どちらのモードの指標かを常に明記する必要がある（詳細は §5.5）。</w:t>
      </w:r>
    </w:p>
    <w:p>
      <w:pPr>
        <w:pStyle w:val="Heading2"/>
        <w:spacing w:after="110" w:before="220"/>
      </w:pPr>
      <w:r>
        <w:rPr>
          <w:rFonts w:ascii="IPAGothic" w:cs="IPAGothic" w:eastAsia="IPAGothic" w:hAnsi="IPAGothic"/>
        </w:rPr>
        <w:t xml:space="preserve">5.2 保存劣化過程での支配モードの変遷（不確かさ伝播の成果）</w:t>
      </w:r>
    </w:p>
    <w:p>
      <w:pPr>
        <w:spacing w:after="90" w:line="276"/>
      </w:pPr>
      <w:r>
        <w:rPr>
          <w:rFonts w:ascii="IPAGothic" w:cs="IPAGothic" w:eastAsia="IPAGothic" w:hAnsi="IPAGothic"/>
          <w:sz w:val="21"/>
          <w:szCs w:val="21"/>
        </w:rPr>
        <w:t xml:space="preserve">感度指標の時間推移を見ると、放電後電圧では使用温度・セル抵抗の寄与が保存とともに拡大する（温度加速項の顕在化）。一方、限界Li塩濃度では曲路率・塗布量が一貫して支配する。</w:t>
      </w:r>
    </w:p>
    <w:p>
      <w:pPr>
        <w:spacing w:after="40" w:before="100"/>
        <w:jc w:val="center"/>
      </w:pPr>
      <w:r>
        <w:drawing>
          <wp:inline distT="0" distB="0" distL="0" distR="0">
            <wp:extent cx="6096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019300"/>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図2. 感度指標の時間推移（design, N=2048＝30,720点/時点, 帯=95%CI）。左=放電後電圧、中=限界Li塩濃度、右=300W維持可否。横軸=保存年、縦軸=ST。</w:t>
      </w:r>
    </w:p>
    <w:p>
      <w:pPr>
        <w:spacing w:after="90" w:line="276"/>
      </w:pPr>
      <w:r>
        <w:rPr>
          <w:rFonts w:ascii="IPAGothic" w:cs="IPAGothic" w:eastAsia="IPAGothic" w:hAnsi="IPAGothic"/>
          <w:b/>
          <w:bCs/>
          <w:color w:val="1F3864"/>
          <w:sz w:val="21"/>
          <w:szCs w:val="21"/>
        </w:rPr>
        <w:t xml:space="preserve">位置づけ（レビューの姿勢に基づく峻別）: </w:t>
      </w:r>
      <w:r>
        <w:rPr>
          <w:rFonts w:ascii="IPAGothic" w:cs="IPAGothic" w:eastAsia="IPAGothic" w:hAnsi="IPAGothic"/>
          <w:sz w:val="21"/>
          <w:szCs w:val="21"/>
        </w:rPr>
        <w:t xml:space="preserve">この時間推移は厳密には感度解析というより理論式の構造上ほぼ必然の挙動である。劣化項が r(T)·t と k(T)·√t なので t=0 では温度の寄与は定義上ゼロで、増えるしかない。したがって以下のモード遷移は「感度でしか出ない結論」ではなく</w:t>
      </w:r>
      <w:r>
        <w:rPr>
          <w:rFonts w:ascii="IPAGothic" w:cs="IPAGothic" w:eastAsia="IPAGothic" w:hAnsi="IPAGothic"/>
          <w:b/>
          <w:bCs/>
          <w:sz w:val="21"/>
          <w:szCs w:val="21"/>
        </w:rPr>
        <w:t xml:space="preserve">不確かさ伝播（UP）の成果</w:t>
      </w:r>
      <w:r>
        <w:rPr>
          <w:rFonts w:ascii="IPAGothic" w:cs="IPAGothic" w:eastAsia="IPAGothic" w:hAnsi="IPAGothic"/>
          <w:sz w:val="21"/>
          <w:szCs w:val="21"/>
        </w:rPr>
        <w:t xml:space="preserve">として、理論式の帰結を定量的に確認し遷移時期と母集団比率を定量化したものと位置づける。真に非自明な発見は §5.4（領域条件付き感度）にある。</w:t>
      </w:r>
    </w:p>
    <w:p>
      <w:pPr>
        <w:spacing w:after="90" w:line="276"/>
      </w:pPr>
      <w:r>
        <w:rPr>
          <w:rFonts w:ascii="IPAGothic" w:cs="IPAGothic" w:eastAsia="IPAGothic" w:hAnsi="IPAGothic"/>
          <w:sz w:val="21"/>
          <w:szCs w:val="21"/>
        </w:rPr>
        <w:t xml:space="preserve">公称設計では、保存が進むと限界Li塩濃度が設計budget（1.4M）を超え、同時に放電後電圧が2.5Vを割る。すなわち抵抗劣化モードから電解液Li+濃度拡散劣化モードへ、t≈5.8年で遷移する。母集団で見ると、拡散劣化モードの個体割合と成立率の推移は次のとおり。</w:t>
      </w:r>
    </w:p>
    <w:p>
      <w:pPr>
        <w:spacing w:after="40" w:before="100"/>
        <w:jc w:val="center"/>
      </w:pPr>
      <w:r>
        <w:drawing>
          <wp:inline distT="0" distB="0" distL="0" distR="0">
            <wp:extent cx="44767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52412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図3. 母集団の劣化モード内訳（design, N=1024＝9,216点/時点, 合計100%積み上げ面グラフ）。抵抗劣化／拡散劣化／300W維持不可 の3区分。無効個体（維持不可）が保存とともに拡大し、成立域が侵食される。</w:t>
      </w:r>
    </w:p>
    <w:p>
      <w:pPr>
        <w:spacing w:after="40" w:before="100"/>
        <w:jc w:val="center"/>
      </w:pPr>
      <w:r>
        <w:drawing>
          <wp:inline distT="0" distB="0" distL="0" distR="0">
            <wp:extent cx="5905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28850"/>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図3補. 支配モードの変遷（従＝折れ線）。左=公称設計の軌跡（放電後電圧・限界Li塩濃度が5〜6年で閾値を越えモード遷移）。右=拡散モード割合を全サンプル基準と有効サンプル基準の2分母で併記＋成立率・有効率。design, N=1024＝9,216点/時点。</w:t>
      </w:r>
    </w:p>
    <w:tbl>
      <w:tblPr>
        <w:tblW w:type="dxa" w:w="7700"/>
        <w:tblBorders>
          <w:top w:val="single" w:color="AAAAAA" w:sz="4"/>
          <w:left w:val="single" w:color="AAAAAA" w:sz="4"/>
          <w:bottom w:val="single" w:color="AAAAAA" w:sz="4"/>
          <w:right w:val="single" w:color="AAAAAA" w:sz="4"/>
          <w:insideH w:val="single" w:color="AAAAAA" w:sz="4"/>
          <w:insideV w:val="single" w:color="AAAAAA" w:sz="4"/>
        </w:tblBorders>
      </w:tblPr>
      <w:tblGrid>
        <w:gridCol w:w="2100"/>
        <w:gridCol w:w="1400"/>
        <w:gridCol w:w="1400"/>
        <w:gridCol w:w="1400"/>
        <w:gridCol w:w="1400"/>
      </w:tblGrid>
      <w:tr>
        <w:trPr>
          <w:tblHeader/>
        </w:trPr>
        <w:tc>
          <w:tcPr>
            <w:tcW w:type="dxa" w:w="21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保存年</w:t>
            </w:r>
          </w:p>
        </w:tc>
        <w:tc>
          <w:tcPr>
            <w:tcW w:type="dxa" w:w="14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0.25</w:t>
            </w:r>
          </w:p>
        </w:tc>
        <w:tc>
          <w:tcPr>
            <w:tcW w:type="dxa" w:w="14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1</w:t>
            </w:r>
          </w:p>
        </w:tc>
        <w:tc>
          <w:tcPr>
            <w:tcW w:type="dxa" w:w="14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3</w:t>
            </w:r>
          </w:p>
        </w:tc>
        <w:tc>
          <w:tcPr>
            <w:tcW w:type="dxa" w:w="14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8</w:t>
            </w:r>
          </w:p>
        </w:tc>
      </w:tr>
      <w:tr>
        <w:trPr>
          <w:tblHeader w:val="false"/>
        </w:trPr>
        <w:tc>
          <w:tcPr>
            <w:tcW w:type="dxa" w:w="21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拡散モード割合（全サンプル基準）</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44%</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46%</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47%</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42%</w:t>
            </w:r>
          </w:p>
        </w:tc>
      </w:tr>
      <w:tr>
        <w:trPr>
          <w:tblHeader w:val="false"/>
        </w:trPr>
        <w:tc>
          <w:tcPr>
            <w:tcW w:type="dxa" w:w="2100"/>
            <w:shd w:fill="FFFFFF" w:color="auto" w:val="clear"/>
            <w:tcMar>
              <w:top w:type="dxa" w:w="40"/>
              <w:left w:type="dxa" w:w="90"/>
              <w:bottom w:type="dxa" w:w="40"/>
              <w:right w:type="dxa" w:w="90"/>
            </w:tcMar>
          </w:tcPr>
          <w:p>
            <w:pPr>
              <w:jc w:val="left"/>
            </w:pPr>
            <w:r>
              <w:rPr>
                <w:rFonts w:ascii="IPAGothic" w:cs="IPAGothic" w:eastAsia="IPAGothic" w:hAnsi="IPAGothic"/>
                <w:color w:val="B8860B"/>
                <w:sz w:val="19"/>
                <w:szCs w:val="19"/>
              </w:rPr>
              <w:t xml:space="preserve">拡散モード割合（有効基準）</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53%</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55%</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60%</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68%</w:t>
            </w:r>
          </w:p>
        </w:tc>
      </w:tr>
      <w:tr>
        <w:trPr>
          <w:tblHeader w:val="false"/>
        </w:trPr>
        <w:tc>
          <w:tcPr>
            <w:tcW w:type="dxa" w:w="21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設計成立率（全サンプル基準）</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39%</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36%</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29%</w:t>
            </w:r>
          </w:p>
        </w:tc>
        <w:tc>
          <w:tcPr>
            <w:tcW w:type="dxa" w:w="1400"/>
            <w:shd w:fill="F2F5FA" w:color="auto" w:val="clear"/>
            <w:tcMar>
              <w:top w:type="dxa" w:w="40"/>
              <w:left w:type="dxa" w:w="90"/>
              <w:bottom w:type="dxa" w:w="40"/>
              <w:right w:type="dxa" w:w="90"/>
            </w:tcMar>
          </w:tcPr>
          <w:p>
            <w:r>
              <w:rPr>
                <w:rFonts w:ascii="IPAGothic" w:cs="IPAGothic" w:eastAsia="IPAGothic" w:hAnsi="IPAGothic"/>
                <w:sz w:val="19"/>
                <w:szCs w:val="19"/>
              </w:rPr>
              <w:t xml:space="preserve">16%</w:t>
            </w:r>
          </w:p>
        </w:tc>
      </w:tr>
      <w:tr>
        <w:trPr>
          <w:tblHeader w:val="false"/>
        </w:trPr>
        <w:tc>
          <w:tcPr>
            <w:tcW w:type="dxa" w:w="21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有効率=300W維持可（全基準）</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84%</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84%</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79%</w:t>
            </w:r>
          </w:p>
        </w:tc>
        <w:tc>
          <w:tcPr>
            <w:tcW w:type="dxa" w:w="1400"/>
            <w:shd w:fill="FFFFFF" w:color="auto" w:val="clear"/>
            <w:tcMar>
              <w:top w:type="dxa" w:w="40"/>
              <w:left w:type="dxa" w:w="90"/>
              <w:bottom w:type="dxa" w:w="40"/>
              <w:right w:type="dxa" w:w="90"/>
            </w:tcMar>
          </w:tcPr>
          <w:p>
            <w:r>
              <w:rPr>
                <w:rFonts w:ascii="IPAGothic" w:cs="IPAGothic" w:eastAsia="IPAGothic" w:hAnsi="IPAGothic"/>
                <w:sz w:val="19"/>
                <w:szCs w:val="19"/>
              </w:rPr>
              <w:t xml:space="preserve">61%</w:t>
            </w:r>
          </w:p>
        </w:tc>
      </w:tr>
    </w:tbl>
    <w:p>
      <w:pPr>
        <w:spacing w:after="90" w:line="276"/>
      </w:pPr>
      <w:r>
        <w:rPr>
          <w:rFonts w:ascii="IPAGothic" w:cs="IPAGothic" w:eastAsia="IPAGothic" w:hAnsi="IPAGothic"/>
          <w:b/>
          <w:bCs/>
          <w:color w:val="B4472C"/>
          <w:sz w:val="19"/>
          <w:szCs w:val="19"/>
        </w:rPr>
        <w:t xml:space="preserve">分母で書き分ける（E-4）: </w:t>
      </w:r>
      <w:r>
        <w:rPr>
          <w:rFonts w:ascii="IPAGothic" w:cs="IPAGothic" w:eastAsia="IPAGothic" w:hAnsi="IPAGothic"/>
          <w:color w:val="595959"/>
          <w:sz w:val="19"/>
          <w:szCs w:val="19"/>
        </w:rPr>
        <w:t xml:space="preserve">拡散モード割合は分母で挙動が逆になる。有効サンプル基準では 53→55→57→60→64→68% と単調増加するが、全サンプル基準では 44→45→46→47→47→46→42% と 2〜3年の47%を頂点に減少する。全基準で減るのは、保存が進むと無効個体（300W維持不可）が増え（有効率84%→61%）、その希釈により「有効かつ拡散モード」の全体に占める割合が下がるためである。脱落するのは高塗布量＝拡散モードに落ちやすい個体なので、有効基準は生存者バイアスで過大となる。§4.5(5) 参照。</w:t>
      </w:r>
    </w:p>
    <w:p>
      <w:pPr>
        <w:spacing w:after="90" w:line="276"/>
      </w:pPr>
      <w:r>
        <w:rPr>
          <w:rFonts w:ascii="IPAGothic" w:cs="IPAGothic" w:eastAsia="IPAGothic" w:hAnsi="IPAGothic"/>
          <w:b/>
          <w:bCs/>
          <w:sz w:val="19"/>
          <w:szCs w:val="19"/>
        </w:rPr>
        <w:t xml:space="preserve">設計上の示唆: </w:t>
      </w:r>
      <w:r>
        <w:rPr>
          <w:rFonts w:ascii="IPAGothic" w:cs="IPAGothic" w:eastAsia="IPAGothic" w:hAnsi="IPAGothic"/>
          <w:color w:val="595959"/>
          <w:sz w:val="19"/>
          <w:szCs w:val="19"/>
        </w:rPr>
        <w:t xml:space="preserve">初期に抵抗劣化モードで成立していても、保存で限界Li塩濃度が上昇し拡散劣化モードへ落ちる。したがって「劣化後も限界Li塩濃度を下回る」初期Li塩濃度設計が必要条件であり、そのうえで抵抗上昇を抑えることが高出力寿命の延伸に直結する（レポートの改善方向性と整合）。</w:t>
      </w:r>
    </w:p>
    <w:p>
      <w:pPr>
        <w:pStyle w:val="Heading2"/>
        <w:spacing w:after="110" w:before="220"/>
      </w:pPr>
      <w:r>
        <w:rPr>
          <w:rFonts w:ascii="IPAGothic" w:cs="IPAGothic" w:eastAsia="IPAGothic" w:hAnsi="IPAGothic"/>
        </w:rPr>
        <w:t xml:space="preserve">5.3 交互作用の可視化（第3の柱の本体）</w:t>
      </w:r>
    </w:p>
    <w:p>
      <w:pPr>
        <w:spacing w:after="90" w:line="276"/>
      </w:pPr>
      <w:r>
        <w:rPr>
          <w:rFonts w:ascii="IPAGothic" w:cs="IPAGothic" w:eastAsia="IPAGothic" w:hAnsi="IPAGothic"/>
          <w:sz w:val="21"/>
          <w:szCs w:val="21"/>
        </w:rPr>
        <w:t xml:space="preserve">並行座標は交互作用の表現が構造的に苦手（軸の並び順に依存し、3次以上は事実上見えない）。そこを埋めるのが交互作用ネットワーク図である。ノード径＝ST（総合効果）、エッジ太さ＝2次のSobol指標 S2（2変数の組合せ効果）を表す。</w:t>
      </w:r>
    </w:p>
    <w:p>
      <w:pPr>
        <w:spacing w:after="40" w:before="10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8132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図4. 交互作用ネットワーク（限界Li塩濃度, design, 5年, N=4096＝65,536点）。ノード径＝ST、線＝2次Sobol指標 S2。S2の95%CIが0を跨ぐ非有意なエッジは破線・淡色に落とし、ノイズを太線として誤読させない。</w:t>
      </w:r>
    </w:p>
    <w:p>
      <w:pPr>
        <w:pStyle w:val="Heading2"/>
        <w:spacing w:after="110" w:before="220"/>
      </w:pPr>
      <w:r>
        <w:rPr>
          <w:rFonts w:ascii="IPAGothic" w:cs="IPAGothic" w:eastAsia="IPAGothic" w:hAnsi="IPAGothic"/>
        </w:rPr>
        <w:t xml:space="preserve">5.4 領域条件付き感度と代入方針への頑健性（本検討の真の発見）</w:t>
      </w:r>
    </w:p>
    <w:p>
      <w:pPr>
        <w:spacing w:after="90" w:line="276"/>
      </w:pPr>
      <w:r>
        <w:rPr>
          <w:rFonts w:ascii="IPAGothic" w:cs="IPAGothic" w:eastAsia="IPAGothic" w:hAnsi="IPAGothic"/>
          <w:sz w:val="21"/>
          <w:szCs w:val="21"/>
        </w:rPr>
        <w:t xml:space="preserve">全体感度では「効き方が単調か、特定領域だけで変化するか」は答えられない。並行座標で領域を絞って感度を取り直すと初めて見える。全域→中間→拡散モード頻発域 と段階的に絞ると、限界Li塩濃度の支配因子は 曲路率（材料物性・制御しにくい）から 活物質密度（設計因子・制御できる）へ連続的に入れ替わる。部分集合が小さすぎると指標が不安定になるため、最小サンプル数のガード（有効N&lt;200で警告）を設けている。</w:t>
      </w:r>
    </w:p>
    <w:p>
      <w:pPr>
        <w:spacing w:after="40" w:before="100"/>
        <w:jc w:val="center"/>
      </w:pPr>
      <w:r>
        <w:drawing>
          <wp:inline distT="0" distB="0" distL="0" distR="0">
            <wp:extent cx="5905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2887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図5. 段階的3領域の領域条件付き感度（限界Li塩濃度, design, 5年, 各領域 N=2048＝30,720点）。全域→中間→拡散モード頻発域 の順に絞ると、材料因子=曲路率から制御可能な設計因子=活物質密度へ首位が連続的に入れ替わる。棒色＝因子分類（設計因子／材料物性／使用条件）。各領域ラベルにサンプル数・有効率・代入率を明記。</w:t>
      </w:r>
    </w:p>
    <w:p>
      <w:pPr>
        <w:spacing w:after="90" w:line="276"/>
      </w:pPr>
      <w:r>
        <w:rPr>
          <w:rFonts w:ascii="IPAGothic" w:cs="IPAGothic" w:eastAsia="IPAGothic" w:hAnsi="IPAGothic"/>
          <w:b/>
          <w:bCs/>
          <w:color w:val="B4472C"/>
          <w:sz w:val="20"/>
          <w:szCs w:val="20"/>
        </w:rPr>
        <w:t xml:space="preserve">この結論は感度解析でしか出ない: </w:t>
      </w:r>
      <w:r>
        <w:rPr>
          <w:rFonts w:ascii="IPAGothic" w:cs="IPAGothic" w:eastAsia="IPAGothic" w:hAnsi="IPAGothic"/>
          <w:sz w:val="20"/>
          <w:szCs w:val="20"/>
        </w:rPr>
        <w:t xml:space="preserve">モード遷移（§5.2）が定W放電の代数的帰結であるのに対し、領域条件付きで支配因子が 材料物性（制御しにくい）→設計因子（制御できる）へ入れ替わるのは非自明で、「打ち手がある」という設計上の意味を持つ。報告書の価値はここにある。</w:t>
      </w:r>
    </w:p>
    <w:p>
      <w:pPr>
        <w:pStyle w:val="Heading2"/>
        <w:spacing w:after="110" w:before="220"/>
      </w:pPr>
      <w:r>
        <w:rPr>
          <w:rFonts w:ascii="IPAGothic" w:cs="IPAGothic" w:eastAsia="IPAGothic" w:hAnsi="IPAGothic"/>
        </w:rPr>
        <w:t xml:space="preserve">5.4.1 頑健性検証 F-1（代入方針への頑健性）</w:t>
      </w:r>
    </w:p>
    <w:p>
      <w:pPr>
        <w:spacing w:after="90" w:line="276"/>
      </w:pPr>
      <w:r>
        <w:rPr>
          <w:rFonts w:ascii="IPAGothic" w:cs="IPAGothic" w:eastAsia="IPAGothic" w:hAnsi="IPAGothic"/>
          <w:b/>
          <w:bCs/>
          <w:color w:val="1F3864"/>
          <w:sz w:val="20"/>
          <w:szCs w:val="20"/>
        </w:rPr>
        <w:t xml:space="preserve">核心の懸念と検証: </w:t>
      </w:r>
      <w:r>
        <w:rPr>
          <w:rFonts w:ascii="IPAGothic" w:cs="IPAGothic" w:eastAsia="IPAGothic" w:hAnsi="IPAGothic"/>
          <w:sz w:val="20"/>
          <w:szCs w:val="20"/>
        </w:rPr>
        <w:t xml:space="preserve">この入れ替わりも限界Li塩濃度の感度であり、§4.5(3) で判明した「代入方針で ST 上位が入れ替わる」不安定性の影響下にある。そこで、拡散モード頻発域の有効率・代入率を実測し、invalid_policy を median と penalty の両方に振り、さらに代入非依存の参照として有効サンプルのみの Spearman |ρ|（順位相関ベース簡易感度。Saltelli 構造を使わないため厳密な分散分解ではなく単調性の指標）を併用して、「曲路率→活物質密度」の入れ替わりが3手法で再現するかを検証した。</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2050"/>
        <w:gridCol w:w="1150"/>
        <w:gridCol w:w="1150"/>
        <w:gridCol w:w="1750"/>
        <w:gridCol w:w="1750"/>
        <w:gridCol w:w="1750"/>
      </w:tblGrid>
      <w:tr>
        <w:trPr>
          <w:tblHeader/>
        </w:trPr>
        <w:tc>
          <w:tcPr>
            <w:tcW w:type="dxa" w:w="205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領域（塗布量／曲路率）</w:t>
            </w:r>
          </w:p>
        </w:tc>
        <w:tc>
          <w:tcPr>
            <w:tcW w:type="dxa" w:w="115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有効率</w:t>
            </w:r>
          </w:p>
        </w:tc>
        <w:tc>
          <w:tcPr>
            <w:tcW w:type="dxa" w:w="115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代入率</w:t>
            </w:r>
          </w:p>
        </w:tc>
        <w:tc>
          <w:tcPr>
            <w:tcW w:type="dxa" w:w="175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median ST 首位</w:t>
            </w:r>
          </w:p>
        </w:tc>
        <w:tc>
          <w:tcPr>
            <w:tcW w:type="dxa" w:w="175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penalty ST 首位</w:t>
            </w:r>
          </w:p>
        </w:tc>
        <w:tc>
          <w:tcPr>
            <w:tcW w:type="dxa" w:w="175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Spearman|ρ| 首位</w:t>
            </w:r>
          </w:p>
        </w:tc>
      </w:tr>
      <w:tr>
        <w:trPr>
          <w:tblHeader w:val="false"/>
        </w:trPr>
        <w:tc>
          <w:tcPr>
            <w:tcW w:type="dxa" w:w="205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全域</w:t>
            </w:r>
          </w:p>
        </w:tc>
        <w:tc>
          <w:tcPr>
            <w:tcW w:type="dxa" w:w="1150"/>
            <w:shd w:fill="F2F5FA" w:color="auto" w:val="clear"/>
            <w:tcMar>
              <w:top w:type="dxa" w:w="40"/>
              <w:left w:type="dxa" w:w="90"/>
              <w:bottom w:type="dxa" w:w="40"/>
              <w:right w:type="dxa" w:w="90"/>
            </w:tcMar>
          </w:tcPr>
          <w:p>
            <w:r>
              <w:rPr>
                <w:rFonts w:ascii="IPAGothic" w:cs="IPAGothic" w:eastAsia="IPAGothic" w:hAnsi="IPAGothic"/>
                <w:sz w:val="19"/>
                <w:szCs w:val="19"/>
              </w:rPr>
              <w:t xml:space="preserve">72%</w:t>
            </w:r>
          </w:p>
        </w:tc>
        <w:tc>
          <w:tcPr>
            <w:tcW w:type="dxa" w:w="1150"/>
            <w:shd w:fill="F2F5FA" w:color="auto" w:val="clear"/>
            <w:tcMar>
              <w:top w:type="dxa" w:w="40"/>
              <w:left w:type="dxa" w:w="90"/>
              <w:bottom w:type="dxa" w:w="40"/>
              <w:right w:type="dxa" w:w="90"/>
            </w:tcMar>
          </w:tcPr>
          <w:p>
            <w:r>
              <w:rPr>
                <w:rFonts w:ascii="IPAGothic" w:cs="IPAGothic" w:eastAsia="IPAGothic" w:hAnsi="IPAGothic"/>
                <w:sz w:val="19"/>
                <w:szCs w:val="19"/>
              </w:rPr>
              <w:t xml:space="preserve">28%</w:t>
            </w:r>
          </w:p>
        </w:tc>
        <w:tc>
          <w:tcPr>
            <w:tcW w:type="dxa" w:w="1750"/>
            <w:shd w:fill="F2F5FA" w:color="auto" w:val="clear"/>
            <w:tcMar>
              <w:top w:type="dxa" w:w="40"/>
              <w:left w:type="dxa" w:w="90"/>
              <w:bottom w:type="dxa" w:w="40"/>
              <w:right w:type="dxa" w:w="90"/>
            </w:tcMar>
          </w:tcPr>
          <w:p>
            <w:r>
              <w:rPr>
                <w:rFonts w:ascii="IPAGothic" w:cs="IPAGothic" w:eastAsia="IPAGothic" w:hAnsi="IPAGothic"/>
                <w:sz w:val="19"/>
                <w:szCs w:val="19"/>
              </w:rPr>
              <w:t xml:space="preserve">曲路率 0.53</w:t>
            </w:r>
          </w:p>
        </w:tc>
        <w:tc>
          <w:tcPr>
            <w:tcW w:type="dxa" w:w="1750"/>
            <w:shd w:fill="F2F5FA" w:color="auto" w:val="clear"/>
            <w:tcMar>
              <w:top w:type="dxa" w:w="40"/>
              <w:left w:type="dxa" w:w="90"/>
              <w:bottom w:type="dxa" w:w="40"/>
              <w:right w:type="dxa" w:w="90"/>
            </w:tcMar>
          </w:tcPr>
          <w:p>
            <w:r>
              <w:rPr>
                <w:rFonts w:ascii="IPAGothic" w:cs="IPAGothic" w:eastAsia="IPAGothic" w:hAnsi="IPAGothic"/>
                <w:sz w:val="19"/>
                <w:szCs w:val="19"/>
              </w:rPr>
              <w:t xml:space="preserve">塗布量 0.71</w:t>
            </w:r>
          </w:p>
        </w:tc>
        <w:tc>
          <w:tcPr>
            <w:tcW w:type="dxa" w:w="1750"/>
            <w:shd w:fill="F2F5FA" w:color="auto" w:val="clear"/>
            <w:tcMar>
              <w:top w:type="dxa" w:w="40"/>
              <w:left w:type="dxa" w:w="90"/>
              <w:bottom w:type="dxa" w:w="40"/>
              <w:right w:type="dxa" w:w="90"/>
            </w:tcMar>
          </w:tcPr>
          <w:p>
            <w:r>
              <w:rPr>
                <w:rFonts w:ascii="IPAGothic" w:cs="IPAGothic" w:eastAsia="IPAGothic" w:hAnsi="IPAGothic"/>
                <w:sz w:val="19"/>
                <w:szCs w:val="19"/>
              </w:rPr>
              <w:t xml:space="preserve">曲路率 0.70</w:t>
            </w:r>
          </w:p>
        </w:tc>
      </w:tr>
      <w:tr>
        <w:trPr>
          <w:tblHeader w:val="false"/>
        </w:trPr>
        <w:tc>
          <w:tcPr>
            <w:tcW w:type="dxa" w:w="205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中間（8〜13／1.6〜2.0）</w:t>
            </w:r>
          </w:p>
        </w:tc>
        <w:tc>
          <w:tcPr>
            <w:tcW w:type="dxa" w:w="1150"/>
            <w:shd w:fill="FFFFFF" w:color="auto" w:val="clear"/>
            <w:tcMar>
              <w:top w:type="dxa" w:w="40"/>
              <w:left w:type="dxa" w:w="90"/>
              <w:bottom w:type="dxa" w:w="40"/>
              <w:right w:type="dxa" w:w="90"/>
            </w:tcMar>
          </w:tcPr>
          <w:p>
            <w:r>
              <w:rPr>
                <w:rFonts w:ascii="IPAGothic" w:cs="IPAGothic" w:eastAsia="IPAGothic" w:hAnsi="IPAGothic"/>
                <w:sz w:val="19"/>
                <w:szCs w:val="19"/>
              </w:rPr>
              <w:t xml:space="preserve">89%</w:t>
            </w:r>
          </w:p>
        </w:tc>
        <w:tc>
          <w:tcPr>
            <w:tcW w:type="dxa" w:w="1150"/>
            <w:shd w:fill="FFFFFF" w:color="auto" w:val="clear"/>
            <w:tcMar>
              <w:top w:type="dxa" w:w="40"/>
              <w:left w:type="dxa" w:w="90"/>
              <w:bottom w:type="dxa" w:w="40"/>
              <w:right w:type="dxa" w:w="90"/>
            </w:tcMar>
          </w:tcPr>
          <w:p>
            <w:r>
              <w:rPr>
                <w:rFonts w:ascii="IPAGothic" w:cs="IPAGothic" w:eastAsia="IPAGothic" w:hAnsi="IPAGothic"/>
                <w:sz w:val="19"/>
                <w:szCs w:val="19"/>
              </w:rPr>
              <w:t xml:space="preserve">11%</w:t>
            </w:r>
          </w:p>
        </w:tc>
        <w:tc>
          <w:tcPr>
            <w:tcW w:type="dxa" w:w="175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密度 0.36</w:t>
            </w:r>
          </w:p>
        </w:tc>
        <w:tc>
          <w:tcPr>
            <w:tcW w:type="dxa" w:w="1750"/>
            <w:shd w:fill="FFFFFF" w:color="auto" w:val="clear"/>
            <w:tcMar>
              <w:top w:type="dxa" w:w="40"/>
              <w:left w:type="dxa" w:w="90"/>
              <w:bottom w:type="dxa" w:w="40"/>
              <w:right w:type="dxa" w:w="90"/>
            </w:tcMar>
          </w:tcPr>
          <w:p>
            <w:r>
              <w:rPr>
                <w:rFonts w:ascii="IPAGothic" w:cs="IPAGothic" w:eastAsia="IPAGothic" w:hAnsi="IPAGothic"/>
                <w:sz w:val="19"/>
                <w:szCs w:val="19"/>
              </w:rPr>
              <w:t xml:space="preserve">抵抗 0.57</w:t>
            </w:r>
          </w:p>
        </w:tc>
        <w:tc>
          <w:tcPr>
            <w:tcW w:type="dxa" w:w="175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密度 0.57</w:t>
            </w:r>
          </w:p>
        </w:tc>
      </w:tr>
      <w:tr>
        <w:trPr>
          <w:tblHeader w:val="false"/>
        </w:trPr>
        <w:tc>
          <w:tcPr>
            <w:tcW w:type="dxa" w:w="205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拡散頻発域（10〜13／1.7〜2.0）</w:t>
            </w:r>
          </w:p>
        </w:tc>
        <w:tc>
          <w:tcPr>
            <w:tcW w:type="dxa" w:w="115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98%</w:t>
            </w:r>
          </w:p>
        </w:tc>
        <w:tc>
          <w:tcPr>
            <w:tcW w:type="dxa" w:w="115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2%</w:t>
            </w:r>
          </w:p>
        </w:tc>
        <w:tc>
          <w:tcPr>
            <w:tcW w:type="dxa" w:w="175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密度 0.45</w:t>
            </w:r>
          </w:p>
        </w:tc>
        <w:tc>
          <w:tcPr>
            <w:tcW w:type="dxa" w:w="175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密度 0.31</w:t>
            </w:r>
          </w:p>
        </w:tc>
        <w:tc>
          <w:tcPr>
            <w:tcW w:type="dxa" w:w="175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密度 0.66</w:t>
            </w:r>
          </w:p>
        </w:tc>
      </w:tr>
    </w:tbl>
    <w:p>
      <w:pPr>
        <w:spacing w:after="40" w:before="100"/>
        <w:jc w:val="center"/>
      </w:pPr>
      <w:r>
        <w:drawing>
          <wp:inline distT="0" distB="0" distL="0" distR="0">
            <wp:extent cx="6096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885950"/>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図6. F-1 代入方針ロバスト性検証（限界Li塩濃度, 5年, 各領域 Saltelli 18,432点＋有効LHS 約4,300〜5,900点）。左=median代入 Sobol ST、中=penalty代入 Sobol ST、右=Spearman|ρ|（代入非依存）。いずれも拡散頻発域で活物質密度が首位（緑）。手法名と限界を図中に明記。</w:t>
      </w:r>
    </w:p>
    <w:p>
      <w:pPr>
        <w:spacing w:after="90" w:line="276"/>
      </w:pPr>
      <w:r>
        <w:rPr>
          <w:rFonts w:ascii="IPAGothic" w:cs="IPAGothic" w:eastAsia="IPAGothic" w:hAnsi="IPAGothic"/>
          <w:b/>
          <w:bCs/>
          <w:color w:val="2E7D32"/>
          <w:sz w:val="20"/>
          <w:szCs w:val="20"/>
        </w:rPr>
        <w:t xml:space="preserve">判定＝代入方針に頑健（格上げ）: </w:t>
      </w:r>
      <w:r>
        <w:rPr>
          <w:rFonts w:ascii="IPAGothic" w:cs="IPAGothic" w:eastAsia="IPAGothic" w:hAnsi="IPAGothic"/>
          <w:sz w:val="20"/>
          <w:szCs w:val="20"/>
        </w:rPr>
        <w:t xml:space="preserve">拡散モード頻発域では median・penalty・Spearman の3手法すべてで活物質密度が首位となり、「曲路率→活物質密度」の入れ替わりが再現した。さらに核心が乗る拡散頻発域の代入率はわずか2%（全域28%・中間11%より格段に小さい）であり、核心は代入の影響を最も受けにくい領域にある。むしろ全域の方が代入の影響を強く受ける。以上より、§4.5(3) の「限界Li塩濃度の感度は代入方針依存」という懸念は §5.4 の核心には及ばず、明示的に解消されたと判断する。§5.4 を「代入方針に頑健な発見」に格上げする。</w:t>
      </w:r>
    </w:p>
    <w:p>
      <w:pPr>
        <w:pStyle w:val="Heading2"/>
        <w:spacing w:after="110" w:before="220"/>
      </w:pPr>
      <w:r>
        <w:rPr>
          <w:rFonts w:ascii="IPAGothic" w:cs="IPAGothic" w:eastAsia="IPAGothic" w:hAnsi="IPAGothic"/>
        </w:rPr>
        <w:t xml:space="preserve">5.5 分布モードによる支配因子の反転（B-2）</w:t>
      </w:r>
    </w:p>
    <w:p>
      <w:pPr>
        <w:spacing w:after="90" w:line="276"/>
      </w:pPr>
      <w:r>
        <w:rPr>
          <w:rFonts w:ascii="IPAGothic" w:cs="IPAGothic" w:eastAsia="IPAGothic" w:hAnsi="IPAGothic"/>
          <w:sz w:val="21"/>
          <w:szCs w:val="21"/>
        </w:rPr>
        <w:t xml:space="preserve">§5.1 で触れたとおり、Sobol指標は与えた入力分布に完全従属する。design（設計上下限の一様分布）と variation（実工程3σの正規分布）で支配因子が反転する。これは §5.4 の領域による反転とは別種の反転であり、「設計マージンを何に対して取るか」に直結する運用判断である。</w:t>
      </w:r>
    </w:p>
    <w:tbl>
      <w:tblPr>
        <w:tblW w:type="dxa" w:w="9250"/>
        <w:tblBorders>
          <w:top w:val="single" w:color="AAAAAA" w:sz="4"/>
          <w:left w:val="single" w:color="AAAAAA" w:sz="4"/>
          <w:bottom w:val="single" w:color="AAAAAA" w:sz="4"/>
          <w:right w:val="single" w:color="AAAAAA" w:sz="4"/>
          <w:insideH w:val="single" w:color="AAAAAA" w:sz="4"/>
          <w:insideV w:val="single" w:color="AAAAAA" w:sz="4"/>
        </w:tblBorders>
      </w:tblPr>
      <w:tblGrid>
        <w:gridCol w:w="2650"/>
        <w:gridCol w:w="3300"/>
        <w:gridCol w:w="3300"/>
      </w:tblGrid>
      <w:tr>
        <w:trPr>
          <w:tblHeader/>
        </w:trPr>
        <w:tc>
          <w:tcPr>
            <w:tcW w:type="dxa" w:w="265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応答</w:t>
            </w:r>
          </w:p>
        </w:tc>
        <w:tc>
          <w:tcPr>
            <w:tcW w:type="dxa" w:w="330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design 首位（設計探索）</w:t>
            </w:r>
          </w:p>
        </w:tc>
        <w:tc>
          <w:tcPr>
            <w:tcW w:type="dxa" w:w="330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variation 首位（ばらつきリスク）</w:t>
            </w:r>
          </w:p>
        </w:tc>
      </w:tr>
      <w:tr>
        <w:trPr>
          <w:tblHeader w:val="false"/>
        </w:trPr>
        <w:tc>
          <w:tcPr>
            <w:tcW w:type="dxa" w:w="265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放電後電圧</w:t>
            </w:r>
          </w:p>
        </w:tc>
        <w:tc>
          <w:tcPr>
            <w:tcW w:type="dxa" w:w="33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塗布量 0.93</w:t>
            </w:r>
          </w:p>
        </w:tc>
        <w:tc>
          <w:tcPr>
            <w:tcW w:type="dxa" w:w="3300"/>
            <w:shd w:fill="F2F5FA" w:color="auto" w:val="clear"/>
            <w:tcMar>
              <w:top w:type="dxa" w:w="40"/>
              <w:left w:type="dxa" w:w="90"/>
              <w:bottom w:type="dxa" w:w="40"/>
              <w:right w:type="dxa" w:w="90"/>
            </w:tcMar>
          </w:tcPr>
          <w:p>
            <w:pPr>
              <w:jc w:val="left"/>
            </w:pPr>
            <w:r>
              <w:rPr>
                <w:rFonts w:ascii="IPAGothic" w:cs="IPAGothic" w:eastAsia="IPAGothic" w:hAnsi="IPAGothic"/>
                <w:b/>
                <w:bCs/>
                <w:color w:val="B4472C"/>
                <w:sz w:val="19"/>
                <w:szCs w:val="19"/>
              </w:rPr>
              <w:t xml:space="preserve">使用温度 0.75</w:t>
            </w:r>
          </w:p>
        </w:tc>
      </w:tr>
      <w:tr>
        <w:trPr>
          <w:tblHeader w:val="false"/>
        </w:trPr>
        <w:tc>
          <w:tcPr>
            <w:tcW w:type="dxa" w:w="265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300W維持可否（二値）</w:t>
            </w:r>
          </w:p>
        </w:tc>
        <w:tc>
          <w:tcPr>
            <w:tcW w:type="dxa" w:w="33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塗布量 0.81</w:t>
            </w:r>
          </w:p>
        </w:tc>
        <w:tc>
          <w:tcPr>
            <w:tcW w:type="dxa" w:w="3300"/>
            <w:shd w:fill="FFFFFF" w:color="auto" w:val="clear"/>
            <w:tcMar>
              <w:top w:type="dxa" w:w="40"/>
              <w:left w:type="dxa" w:w="90"/>
              <w:bottom w:type="dxa" w:w="40"/>
              <w:right w:type="dxa" w:w="90"/>
            </w:tcMar>
          </w:tcPr>
          <w:p>
            <w:pPr>
              <w:jc w:val="left"/>
            </w:pPr>
            <w:r>
              <w:rPr>
                <w:rFonts w:ascii="IPAGothic" w:cs="IPAGothic" w:eastAsia="IPAGothic" w:hAnsi="IPAGothic"/>
                <w:b/>
                <w:bCs/>
                <w:color w:val="B4472C"/>
                <w:sz w:val="19"/>
                <w:szCs w:val="19"/>
              </w:rPr>
              <w:t xml:space="preserve">使用温度 0.79</w:t>
            </w:r>
          </w:p>
        </w:tc>
      </w:tr>
    </w:tbl>
    <w:p>
      <w:pPr>
        <w:spacing w:after="90" w:line="276"/>
      </w:pPr>
      <w:r>
        <w:rPr>
          <w:rFonts w:ascii="IPAGothic" w:cs="IPAGothic" w:eastAsia="IPAGothic" w:hAnsi="IPAGothic"/>
          <w:b/>
          <w:bCs/>
          <w:color w:val="1F3864"/>
          <w:sz w:val="20"/>
          <w:szCs w:val="20"/>
        </w:rPr>
        <w:t xml:space="preserve">運用上の意味: </w:t>
      </w:r>
      <w:r>
        <w:rPr>
          <w:rFonts w:ascii="IPAGothic" w:cs="IPAGothic" w:eastAsia="IPAGothic" w:hAnsi="IPAGothic"/>
          <w:sz w:val="20"/>
          <w:szCs w:val="20"/>
        </w:rPr>
        <w:t xml:space="preserve">設計探索（design）では自分で振る設計因子＝塗布量が首位に見えるが、量産ばらつき（variation）では自分では振らない使用温度が首位に反転する。「温度は設計変数でないから効かない」と設計探索の絵だけで判断すると、実運用での温度ばらつきに対するマージン不足を見落とす。Sobol 指標は入力分布に従属するため、どのモードの指標かを図・本文で常に明記すること。設計マージンは design で効く因子（塗布量）に対してだけでなく、variation で効く因子（温度）に対しても取る必要がある。</w:t>
      </w:r>
    </w:p>
    <w:p>
      <w:pPr>
        <w:pStyle w:val="Heading1"/>
        <w:spacing w:after="110" w:before="220"/>
      </w:pPr>
      <w:r>
        <w:rPr>
          <w:rFonts w:ascii="IPAGothic" w:cs="IPAGothic" w:eastAsia="IPAGothic" w:hAnsi="IPAGothic"/>
        </w:rPr>
        <w:t xml:space="preserve">6. 設計探索アーキテクチャ（①②③の統合）</w:t>
      </w:r>
    </w:p>
    <w:p>
      <w:pPr>
        <w:spacing w:after="90" w:line="276"/>
      </w:pPr>
      <w:r>
        <w:rPr>
          <w:rFonts w:ascii="IPAGothic" w:cs="IPAGothic" w:eastAsia="IPAGothic" w:hAnsi="IPAGothic"/>
          <w:sz w:val="21"/>
          <w:szCs w:val="21"/>
        </w:rPr>
        <w:t xml:space="preserve">感度スクリーニング（①）で効く変数を自動抽出して並行座標へ反映し、交互作用ネットワーク（②）で並行座標が苦手な多変数関係を補完し、感度上位2軸で制約つきコンター（③）を描いて局所地形のOK/NGを把握する。成立域が狭い／支配モードが変わる場合は範囲を絞って感度を再計算する（領域条件付き・時点別）フィードバックループを持つ。</w:t>
      </w:r>
    </w:p>
    <w:p>
      <w:pPr>
        <w:spacing w:after="40" w:before="100"/>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048000"/>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図7. 設計探索アーキテクチャ全体像。感度スクリーニング→並行座標＋交互作用ネットワーク→制約つきコンター。</w:t>
      </w:r>
    </w:p>
    <w:p>
      <w:pPr>
        <w:pStyle w:val="Heading2"/>
        <w:spacing w:after="110" w:before="220"/>
      </w:pPr>
      <w:r>
        <w:rPr>
          <w:rFonts w:ascii="IPAGothic" w:cs="IPAGothic" w:eastAsia="IPAGothic" w:hAnsi="IPAGothic"/>
        </w:rPr>
        <w:t xml:space="preserve">6.1 感度スクリーニング → 擬似並行座標（自動反映）</w:t>
      </w:r>
    </w:p>
    <w:p>
      <w:pPr>
        <w:spacing w:after="90" w:line="276"/>
      </w:pPr>
      <w:r>
        <w:rPr>
          <w:rFonts w:ascii="IPAGothic" w:cs="IPAGothic" w:eastAsia="IPAGothic" w:hAnsi="IPAGothic"/>
          <w:sz w:val="21"/>
          <w:szCs w:val="21"/>
        </w:rPr>
        <w:t xml:space="preserve">Sobol の ST 上位を能動軸として自動選択し、並行座標の軸順・強調に反映する（★能動軸を左に集約・強調、非能動軸は淡色）。個体は放電後電圧でカラーリングし、制約成立個体を強調する。これにより「どの軸に注目すべきか」を感度解析が決め、並行座標に橋渡しする。</w:t>
      </w:r>
    </w:p>
    <w:p>
      <w:pPr>
        <w:spacing w:after="40" w:before="100"/>
        <w:jc w:val="center"/>
      </w:pPr>
      <w:r>
        <w:drawing>
          <wp:inline distT="0" distB="0" distL="0" distR="0">
            <wp:extent cx="60007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0" cy="275272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図8. 擬似並行座標プロット（Python実装）。感度スクリーニングを軸選択へ自動反映。★＝能動軸（ST上位）。</w:t>
      </w:r>
    </w:p>
    <w:p>
      <w:pPr>
        <w:pStyle w:val="Heading2"/>
        <w:spacing w:after="110" w:before="220"/>
      </w:pPr>
      <w:r>
        <w:rPr>
          <w:rFonts w:ascii="IPAGothic" w:cs="IPAGothic" w:eastAsia="IPAGothic" w:hAnsi="IPAGothic"/>
        </w:rPr>
        <w:t xml:space="preserve">6.2 制約つき2軸コンター（局所地形 OK/NG）</w:t>
      </w:r>
    </w:p>
    <w:p>
      <w:pPr>
        <w:spacing w:after="90" w:line="276"/>
      </w:pPr>
      <w:r>
        <w:rPr>
          <w:rFonts w:ascii="IPAGothic" w:cs="IPAGothic" w:eastAsia="IPAGothic" w:hAnsi="IPAGothic"/>
          <w:b/>
          <w:bCs/>
          <w:sz w:val="21"/>
          <w:szCs w:val="21"/>
        </w:rPr>
        <w:t xml:space="preserve">軸選択の根拠（D-2）: </w:t>
      </w:r>
      <w:r>
        <w:rPr>
          <w:rFonts w:ascii="IPAGothic" w:cs="IPAGothic" w:eastAsia="IPAGothic" w:hAnsi="IPAGothic"/>
          <w:sz w:val="21"/>
          <w:szCs w:val="21"/>
        </w:rPr>
        <w:t xml:space="preserve">放電後電圧（y_end）基準の感度上位2軸である セル抵抗×正極塗布量 で主断面を描く（図9）。加えて、限界Li塩濃度（Cli）基準の感度上位2軸である 塗布量×活物質密度 の断面を追加し（図10）、拡散劣化モード側の地形を補完する。いずれも両制約線（放電後電圧≥2.5V, 限界Li塩濃度≤1.4M）を重ねる。</w:t>
      </w:r>
    </w:p>
    <w:p>
      <w:pPr>
        <w:spacing w:after="40" w:before="100"/>
        <w:jc w:val="center"/>
      </w:pPr>
      <w:r>
        <w:drawing>
          <wp:inline distT="0" distB="0" distL="0" distR="0">
            <wp:extent cx="4095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3143250"/>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図9. 制約つき2軸コンター（y_end基準の上位2軸＝セル抵抗×正極塗布量, 5年後）。赤=放電後電圧下限、白破線=限界Li塩濃度上限、灰網掛=NG。固定値: 正極利用率0.205 Ah/g・活物質密度3.5 g/cm³・電解液拡散係数4.0e-10 m²/s・正極曲路率1.6・使用温度38℃（キャプション下部にも注記）。</w:t>
      </w:r>
    </w:p>
    <w:p>
      <w:pPr>
        <w:spacing w:after="40" w:before="100"/>
        <w:jc w:val="center"/>
      </w:pPr>
      <w:r>
        <w:drawing>
          <wp:inline distT="0" distB="0" distL="0" distR="0">
            <wp:extent cx="4095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3143250"/>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図10. 追加断面（Cli基準の上位2軸＝正極塗布量×活物質密度, 5年後）。同一の両制約線を重ねる。塗布量が高く密度が低い（＝空隙が多く実効拡散が長い）ほど限界Li塩濃度を超えNGになる。固定値: セル抵抗5.3mΩ・正極利用率0.205 Ah/g・電解液拡散係数4.0e-10 m²/s・正極曲路率1.6・使用温度38℃。</w:t>
      </w:r>
    </w:p>
    <w:p>
      <w:pPr>
        <w:spacing w:after="90" w:line="276"/>
      </w:pPr>
      <w:r>
        <w:rPr>
          <w:rFonts w:ascii="IPAGothic" w:cs="IPAGothic" w:eastAsia="IPAGothic" w:hAnsi="IPAGothic"/>
          <w:sz w:val="21"/>
          <w:szCs w:val="21"/>
        </w:rPr>
        <w:t xml:space="preserve">これらは報告書 NCR2170JB Step2 の設計探索（塗布量82±3 g/m²・セル抵抗≤5.3mΩで成立）と同形式・同傾向である。</w:t>
      </w:r>
    </w:p>
    <w:p>
      <w:pPr>
        <w:pStyle w:val="Heading2"/>
        <w:spacing w:after="110" w:before="220"/>
      </w:pPr>
      <w:r>
        <w:rPr>
          <w:rFonts w:ascii="IPAGothic" w:cs="IPAGothic" w:eastAsia="IPAGothic" w:hAnsi="IPAGothic"/>
        </w:rPr>
        <w:t xml:space="preserve">6.3 コンター条件比較（曲路率 低/中/高, D-3）</w:t>
      </w:r>
    </w:p>
    <w:p>
      <w:pPr>
        <w:spacing w:after="90" w:line="276"/>
      </w:pPr>
      <w:r>
        <w:rPr>
          <w:rFonts w:ascii="IPAGothic" w:cs="IPAGothic" w:eastAsia="IPAGothic" w:hAnsi="IPAGothic"/>
          <w:sz w:val="21"/>
          <w:szCs w:val="21"/>
        </w:rPr>
        <w:t xml:space="preserve">図9・図10は固定値を1点に定めた断面である。固定した材料物性が地形をどれだけ動かすかを示すため、正極曲路率を 低(1.4)／中(1.7)／高(2.0) と振った3枚を横並びで比較する。曲路率が上がるほど実効拡散が短くなり限界Li塩濃度側の制約が厳しくなって、成立域（白地）が縮小し、2.0では断面全域がNGになる。これは D-1 の「固定値をどう選ぶかで地形が変わる」問題への実質的な回答でもある。</w:t>
      </w:r>
    </w:p>
    <w:p>
      <w:pPr>
        <w:spacing w:after="40" w:before="100"/>
        <w:jc w:val="center"/>
      </w:pPr>
      <w:r>
        <w:drawing>
          <wp:inline distT="0" distB="0" distL="0" distR="0">
            <wp:extent cx="6286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86500" cy="216217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図11. コンター条件比較（セル抵抗×塗布量, 5年後, 正極曲路率 低1.4／中1.7／高2.0）。曲路率上昇とともに成立域（白地）が縮小し、2.0では全域NG（灰網掛）。他の固定値は図9と同一。</w:t>
      </w:r>
    </w:p>
    <w:p>
      <w:pPr>
        <w:pStyle w:val="Heading1"/>
        <w:spacing w:after="110" w:before="220"/>
      </w:pPr>
      <w:r>
        <w:rPr>
          <w:rFonts w:ascii="IPAGothic" w:cs="IPAGothic" w:eastAsia="IPAGothic" w:hAnsi="IPAGothic"/>
        </w:rPr>
        <w:t xml:space="preserve">7. 考察・結論・今後</w:t>
      </w:r>
    </w:p>
    <w:p>
      <w:pPr>
        <w:spacing w:after="90" w:line="276"/>
      </w:pPr>
      <w:r>
        <w:rPr>
          <w:rFonts w:ascii="IPAGothic" w:cs="IPAGothic" w:eastAsia="IPAGothic" w:hAnsi="IPAGothic"/>
          <w:b/>
          <w:bCs/>
          <w:color w:val="B4472C"/>
          <w:sz w:val="21"/>
          <w:szCs w:val="21"/>
        </w:rPr>
        <w:t xml:space="preserve">確定した核心（§5.4）: </w:t>
      </w:r>
      <w:r>
        <w:rPr>
          <w:rFonts w:ascii="IPAGothic" w:cs="IPAGothic" w:eastAsia="IPAGothic" w:hAnsi="IPAGothic"/>
          <w:sz w:val="21"/>
          <w:szCs w:val="21"/>
        </w:rPr>
        <w:t xml:space="preserve">限界Li塩濃度の支配因子は、拡散劣化モードが頻発する領域で 材料物性=曲路率 から 制御可能な設計因子=活物質密度 へ入れ替わる。この入れ替わりは median／penalty／Spearman|ρ| の3手法で再現し、核心が乗る領域の代入率はわずか2%であることから、代入方針に頑健であると確定した（§4.5(3) の懸念を明示的に解消）。全域感度では見えず領域を絞って初めて現れる、感度解析でしか出ない結論であり、「材料で決まる＝打ち手がない」という誤解を退けて設計上の打ち手（密度）を示す。</w:t>
      </w:r>
    </w:p>
    <w:p>
      <w:pPr>
        <w:pStyle w:val="ListParagraph"/>
        <w:numPr>
          <w:ilvl w:val="0"/>
          <w:numId w:val="1"/>
        </w:numPr>
        <w:spacing w:after="60" w:line="270"/>
      </w:pPr>
      <w:r>
        <w:rPr>
          <w:rFonts w:ascii="IPAGothic" w:cs="IPAGothic" w:eastAsia="IPAGothic" w:hAnsi="IPAGothic"/>
          <w:sz w:val="21"/>
          <w:szCs w:val="21"/>
        </w:rPr>
        <w:t xml:space="preserve">DC_v5 の保存劣化理論式を直接モンテカルロで叩く Sobol 感度解析を実装し、社内テクニカルレポートと部分整合することを確認した（理論構造・設計成立範囲は一致、感度順位は範囲・代入・領域依存）。</w:t>
      </w:r>
    </w:p>
    <w:p>
      <w:pPr>
        <w:pStyle w:val="ListParagraph"/>
        <w:numPr>
          <w:ilvl w:val="0"/>
          <w:numId w:val="1"/>
        </w:numPr>
        <w:spacing w:after="60" w:line="270"/>
      </w:pPr>
      <w:r>
        <w:rPr>
          <w:rFonts w:ascii="IPAGothic" w:cs="IPAGothic" w:eastAsia="IPAGothic" w:hAnsi="IPAGothic"/>
          <w:sz w:val="21"/>
          <w:szCs w:val="21"/>
        </w:rPr>
        <w:t xml:space="preserve">応答ごとに支配因子が分離する（放電後電圧←塗布量/抵抗/温度、限界Li塩濃度←曲路率/塗布量/密度、二値維持可否←塗布量/抵抗/温度）ことを、95%信頼区間つきで定量化した。</w:t>
      </w:r>
    </w:p>
    <w:p>
      <w:pPr>
        <w:pStyle w:val="ListParagraph"/>
        <w:numPr>
          <w:ilvl w:val="0"/>
          <w:numId w:val="1"/>
        </w:numPr>
        <w:spacing w:after="60" w:line="270"/>
      </w:pPr>
      <w:r>
        <w:rPr>
          <w:rFonts w:ascii="IPAGothic" w:cs="IPAGothic" w:eastAsia="IPAGothic" w:hAnsi="IPAGothic"/>
          <w:sz w:val="21"/>
          <w:szCs w:val="21"/>
        </w:rPr>
        <w:t xml:space="preserve">限界Li塩濃度の全域感度は代入方針で ST 上位が入れ替わる（本検討で判明した数値的注意点, §4.5(3)）。成立可否は代入不要の二値応答で別途分解し、欠測バイアスを回避した。</w:t>
      </w:r>
    </w:p>
    <w:p>
      <w:pPr>
        <w:pStyle w:val="ListParagraph"/>
        <w:numPr>
          <w:ilvl w:val="0"/>
          <w:numId w:val="1"/>
        </w:numPr>
        <w:spacing w:after="60" w:line="270"/>
      </w:pPr>
      <w:r>
        <w:rPr>
          <w:rFonts w:ascii="IPAGothic" w:cs="IPAGothic" w:eastAsia="IPAGothic" w:hAnsi="IPAGothic"/>
          <w:sz w:val="21"/>
          <w:szCs w:val="21"/>
        </w:rPr>
        <w:t xml:space="preserve">分布モード（design／variation）で支配因子が反転する（放電後電圧・維持可否とも design=塗布量→variation=温度, §5.5）。設計マージンを何に対して取るかの運用判断に直結する。</w:t>
      </w:r>
    </w:p>
    <w:p>
      <w:pPr>
        <w:spacing w:after="90" w:line="276"/>
      </w:pPr>
      <w:r>
        <w:rPr>
          <w:rFonts w:ascii="IPAGothic" w:cs="IPAGothic" w:eastAsia="IPAGothic" w:hAnsi="IPAGothic"/>
          <w:b/>
          <w:bCs/>
          <w:color w:val="1F3864"/>
          <w:sz w:val="21"/>
          <w:szCs w:val="21"/>
        </w:rPr>
        <w:t xml:space="preserve">不確かさ伝播（UP）の成果として格下げした項目: </w:t>
      </w:r>
      <w:r>
        <w:rPr>
          <w:rFonts w:ascii="IPAGothic" w:cs="IPAGothic" w:eastAsia="IPAGothic" w:hAnsi="IPAGothic"/>
          <w:sz w:val="21"/>
          <w:szCs w:val="21"/>
        </w:rPr>
        <w:t xml:space="preserve">保存に伴う抵抗劣化→拡散劣化のモード遷移と温度寄与の時間拡大は、劣化項が r(T)·t と k(T)·√t である以上の理論式の代数的帰結であり、モンテカルロを回さずとも導ける。よって「感度の発見」ではなく、遷移時期（公称≈5.8年）と母集団比率（分母併記）を定量化した UP の成果と位置づける。</w:t>
      </w:r>
    </w:p>
    <w:p>
      <w:pPr>
        <w:spacing w:after="90" w:line="276"/>
      </w:pPr>
      <w:r>
        <w:rPr>
          <w:rFonts w:ascii="IPAGothic" w:cs="IPAGothic" w:eastAsia="IPAGothic" w:hAnsi="IPAGothic"/>
          <w:b/>
          <w:bCs/>
          <w:color w:val="1F3864"/>
          <w:sz w:val="21"/>
          <w:szCs w:val="21"/>
        </w:rPr>
        <w:t xml:space="preserve">今後の発展: </w:t>
      </w:r>
    </w:p>
    <w:p>
      <w:pPr>
        <w:pStyle w:val="ListParagraph"/>
        <w:numPr>
          <w:ilvl w:val="0"/>
          <w:numId w:val="1"/>
        </w:numPr>
        <w:spacing w:after="60" w:line="270"/>
      </w:pPr>
      <w:r>
        <w:rPr>
          <w:rFonts w:ascii="IPAGothic" w:cs="IPAGothic" w:eastAsia="IPAGothic" w:hAnsi="IPAGothic"/>
          <w:sz w:val="21"/>
          <w:szCs w:val="21"/>
        </w:rPr>
        <w:t xml:space="preserve">F-1 の残課題は本統合版 §8 で消し込んだ: 領域境界近傍の連続性は完全成立（段差なく滑らかに首位交代, s≈0.58 で交差）、8年再現性は代入非依存の2手法（median/Spearman）で成立（penalty のみ温度へ発散＝代入率上昇による §4.5(3) の既知効果）。</w:t>
      </w:r>
    </w:p>
    <w:p>
      <w:pPr>
        <w:pStyle w:val="ListParagraph"/>
        <w:numPr>
          <w:ilvl w:val="0"/>
          <w:numId w:val="1"/>
        </w:numPr>
        <w:spacing w:after="60" w:line="270"/>
      </w:pPr>
      <w:r>
        <w:rPr>
          <w:rFonts w:ascii="IPAGothic" w:cs="IPAGothic" w:eastAsia="IPAGothic" w:hAnsi="IPAGothic"/>
          <w:sz w:val="21"/>
          <w:szCs w:val="21"/>
        </w:rPr>
        <w:t xml:space="preserve">セル設計計算を DC_v5 CellDesign（run_calc）実体へ接続（現状は物理無矛盾な最小スラブモデル）。</w:t>
      </w:r>
    </w:p>
    <w:p>
      <w:pPr>
        <w:pStyle w:val="ListParagraph"/>
        <w:numPr>
          <w:ilvl w:val="0"/>
          <w:numId w:val="1"/>
        </w:numPr>
        <w:spacing w:after="60" w:line="270"/>
      </w:pPr>
      <w:r>
        <w:rPr>
          <w:rFonts w:ascii="IPAGothic" w:cs="IPAGothic" w:eastAsia="IPAGothic" w:hAnsi="IPAGothic"/>
          <w:sz w:val="21"/>
          <w:szCs w:val="21"/>
        </w:rPr>
        <w:t xml:space="preserve">Li塩消費モデル（保存によるLiPF6消費で初期Li塩濃度が低下）を組み込み、拡散劣化モードへの到達時刻を予測。</w:t>
      </w:r>
    </w:p>
    <w:p>
      <w:pPr>
        <w:pStyle w:val="ListParagraph"/>
        <w:numPr>
          <w:ilvl w:val="0"/>
          <w:numId w:val="1"/>
        </w:numPr>
        <w:spacing w:after="60" w:line="270"/>
      </w:pPr>
      <w:r>
        <w:rPr>
          <w:rFonts w:ascii="IPAGothic" w:cs="IPAGothic" w:eastAsia="IPAGothic" w:hAnsi="IPAGothic"/>
          <w:sz w:val="21"/>
          <w:szCs w:val="21"/>
        </w:rPr>
        <w:t xml:space="preserve">Plotly/Dash によるインタラクティブ版（ブラッシング連動）。現状は擬似＝静的Python図。</w:t>
      </w:r>
    </w:p>
    <w:p>
      <w:pPr>
        <w:pStyle w:val="Heading1"/>
        <w:spacing w:after="110" w:before="220"/>
      </w:pPr>
      <w:r>
        <w:rPr>
          <w:rFonts w:ascii="IPAGothic" w:cs="IPAGothic" w:eastAsia="IPAGothic" w:hAnsi="IPAGothic"/>
        </w:rPr>
        <w:t xml:space="preserve">8. F-1 残課題の消し込み検証（統合版で追加）</w:t>
      </w:r>
    </w:p>
    <w:p>
      <w:pPr>
        <w:spacing w:after="90" w:line="276"/>
      </w:pPr>
      <w:r>
        <w:rPr>
          <w:rFonts w:ascii="IPAGothic" w:cs="IPAGothic" w:eastAsia="IPAGothic" w:hAnsi="IPAGothic"/>
          <w:sz w:val="21"/>
          <w:szCs w:val="21"/>
        </w:rPr>
        <w:t xml:space="preserve">改訂第3版 §7 で「今後の検証対象」として残した F-1 の2つの残課題を実測で消し込み、本統合版に統合する。いずれも §5.4 の核心（拡散モード頻発域で 限界Li塩濃度の支配因子が 曲路率→活物質密度 へ入れ替わる）を対象とし、乱数シードは固定して再現性を確保した。</w:t>
      </w:r>
    </w:p>
    <w:p>
      <w:pPr>
        <w:pStyle w:val="Heading2"/>
        <w:spacing w:after="110" w:before="220"/>
      </w:pPr>
      <w:r>
        <w:rPr>
          <w:rFonts w:ascii="IPAGothic" w:cs="IPAGothic" w:eastAsia="IPAGothic" w:hAnsi="IPAGothic"/>
        </w:rPr>
        <w:t xml:space="preserve">8.1 検証B：領域境界近傍での連続性</w:t>
      </w:r>
    </w:p>
    <w:p>
      <w:pPr>
        <w:spacing w:after="90" w:line="276"/>
      </w:pPr>
      <w:r>
        <w:rPr>
          <w:rFonts w:ascii="IPAGothic" w:cs="IPAGothic" w:eastAsia="IPAGothic" w:hAnsi="IPAGothic"/>
          <w:sz w:val="21"/>
          <w:szCs w:val="21"/>
        </w:rPr>
        <w:t xml:space="preserve">§5.4 の入れ替わりが領域の切り方に依存する「崖（不連続）」ではなく、連続的な現象であることを確認する。全域から拡散モード頻発域へ向けて、塗布量の下限を 6→10 mg/cm²、曲路率の下限を 1.4→1.7 へ同時に連続的に絞り込み（絞り込み度 s=0→1）、各段階で 限界Li塩濃度 の ST（median, N=4096）を算出した。</w:t>
      </w:r>
    </w:p>
    <w:p>
      <w:pPr>
        <w:spacing w:after="40" w:before="100"/>
        <w:jc w:val="center"/>
      </w:pPr>
      <w:r>
        <w:drawing>
          <wp:inline distT="0" distB="0" distL="0" distR="0">
            <wp:extent cx="6286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86500" cy="2276475"/>
                    </a:xfrm>
                    <a:prstGeom prst="rect">
                      <a:avLst/>
                    </a:prstGeom>
                  </pic:spPr>
                </pic:pic>
              </a:graphicData>
            </a:graphic>
          </wp:inline>
        </w:drawing>
      </w:r>
    </w:p>
    <w:p>
      <w:pPr>
        <w:spacing w:after="160"/>
        <w:jc w:val="center"/>
      </w:pPr>
      <w:r>
        <w:rPr>
          <w:rFonts w:ascii="IPAGothic" w:cs="IPAGothic" w:eastAsia="IPAGothic" w:hAnsi="IPAGothic"/>
          <w:i/>
          <w:iCs/>
          <w:color w:val="595959"/>
          <w:sz w:val="18"/>
          <w:szCs w:val="18"/>
        </w:rPr>
        <w:t xml:space="preserve">図12. F-1 残課題の消し込み。左＝検証B（領域境界の連続性, design, 5年, N=4096＝各段階65,536点）: 曲路率STが単調に低下・活物質密度STが単調に上昇し、s≈0.58 で滑らかに首位交代（崖ではない）。右＝検証A（8年再現性）: 拡散頻発域の首位因子STを5年（淡）と8年（濃）で比較。median/Spearman は8年でも活物質密度が首位、penalty のみ使用温度へ発散。</w:t>
      </w:r>
    </w:p>
    <w:tbl>
      <w:tblPr>
        <w:tblW w:type="dxa" w:w="830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1500"/>
        <w:gridCol w:w="1500"/>
        <w:gridCol w:w="1500"/>
        <w:gridCol w:w="1900"/>
      </w:tblGrid>
      <w:tr>
        <w:trPr>
          <w:tblHeader/>
        </w:trPr>
        <w:tc>
          <w:tcPr>
            <w:tcW w:type="dxa" w:w="19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絞り込み度 s</w:t>
            </w:r>
          </w:p>
        </w:tc>
        <w:tc>
          <w:tcPr>
            <w:tcW w:type="dxa" w:w="15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塗布量下限</w:t>
            </w:r>
          </w:p>
        </w:tc>
        <w:tc>
          <w:tcPr>
            <w:tcW w:type="dxa" w:w="15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曲路率下限</w:t>
            </w:r>
          </w:p>
        </w:tc>
        <w:tc>
          <w:tcPr>
            <w:tcW w:type="dxa" w:w="15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曲路率 ST</w:t>
            </w:r>
          </w:p>
        </w:tc>
        <w:tc>
          <w:tcPr>
            <w:tcW w:type="dxa" w:w="19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活物質密度 ST</w:t>
            </w:r>
          </w:p>
        </w:tc>
      </w:tr>
      <w:tr>
        <w:trPr>
          <w:tblHeader w:val="false"/>
        </w:trPr>
        <w:tc>
          <w:tcPr>
            <w:tcW w:type="dxa" w:w="19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0.00（全域）</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6.0</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1.40</w:t>
            </w:r>
          </w:p>
        </w:tc>
        <w:tc>
          <w:tcPr>
            <w:tcW w:type="dxa" w:w="15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0.50</w:t>
            </w:r>
          </w:p>
        </w:tc>
        <w:tc>
          <w:tcPr>
            <w:tcW w:type="dxa" w:w="1900"/>
            <w:shd w:fill="F2F5FA" w:color="auto" w:val="clear"/>
            <w:tcMar>
              <w:top w:type="dxa" w:w="40"/>
              <w:left w:type="dxa" w:w="90"/>
              <w:bottom w:type="dxa" w:w="40"/>
              <w:right w:type="dxa" w:w="90"/>
            </w:tcMar>
          </w:tcPr>
          <w:p>
            <w:r>
              <w:rPr>
                <w:rFonts w:ascii="IPAGothic" w:cs="IPAGothic" w:eastAsia="IPAGothic" w:hAnsi="IPAGothic"/>
                <w:sz w:val="19"/>
                <w:szCs w:val="19"/>
              </w:rPr>
              <w:t xml:space="preserve">0.24</w:t>
            </w:r>
          </w:p>
        </w:tc>
      </w:tr>
      <w:tr>
        <w:trPr>
          <w:tblHeader w:val="false"/>
        </w:trPr>
        <w:tc>
          <w:tcPr>
            <w:tcW w:type="dxa" w:w="19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0.33</w:t>
            </w:r>
          </w:p>
        </w:tc>
        <w:tc>
          <w:tcPr>
            <w:tcW w:type="dxa" w:w="1500"/>
            <w:shd w:fill="FFFFFF" w:color="auto" w:val="clear"/>
            <w:tcMar>
              <w:top w:type="dxa" w:w="40"/>
              <w:left w:type="dxa" w:w="90"/>
              <w:bottom w:type="dxa" w:w="40"/>
              <w:right w:type="dxa" w:w="90"/>
            </w:tcMar>
          </w:tcPr>
          <w:p>
            <w:r>
              <w:rPr>
                <w:rFonts w:ascii="IPAGothic" w:cs="IPAGothic" w:eastAsia="IPAGothic" w:hAnsi="IPAGothic"/>
                <w:sz w:val="19"/>
                <w:szCs w:val="19"/>
              </w:rPr>
              <w:t xml:space="preserve">7.3</w:t>
            </w:r>
          </w:p>
        </w:tc>
        <w:tc>
          <w:tcPr>
            <w:tcW w:type="dxa" w:w="1500"/>
            <w:shd w:fill="FFFFFF" w:color="auto" w:val="clear"/>
            <w:tcMar>
              <w:top w:type="dxa" w:w="40"/>
              <w:left w:type="dxa" w:w="90"/>
              <w:bottom w:type="dxa" w:w="40"/>
              <w:right w:type="dxa" w:w="90"/>
            </w:tcMar>
          </w:tcPr>
          <w:p>
            <w:r>
              <w:rPr>
                <w:rFonts w:ascii="IPAGothic" w:cs="IPAGothic" w:eastAsia="IPAGothic" w:hAnsi="IPAGothic"/>
                <w:sz w:val="19"/>
                <w:szCs w:val="19"/>
              </w:rPr>
              <w:t xml:space="preserve">1.50</w:t>
            </w:r>
          </w:p>
        </w:tc>
        <w:tc>
          <w:tcPr>
            <w:tcW w:type="dxa" w:w="150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0.41</w:t>
            </w:r>
          </w:p>
        </w:tc>
        <w:tc>
          <w:tcPr>
            <w:tcW w:type="dxa" w:w="1900"/>
            <w:shd w:fill="FFFFFF" w:color="auto" w:val="clear"/>
            <w:tcMar>
              <w:top w:type="dxa" w:w="40"/>
              <w:left w:type="dxa" w:w="90"/>
              <w:bottom w:type="dxa" w:w="40"/>
              <w:right w:type="dxa" w:w="90"/>
            </w:tcMar>
          </w:tcPr>
          <w:p>
            <w:r>
              <w:rPr>
                <w:rFonts w:ascii="IPAGothic" w:cs="IPAGothic" w:eastAsia="IPAGothic" w:hAnsi="IPAGothic"/>
                <w:sz w:val="19"/>
                <w:szCs w:val="19"/>
              </w:rPr>
              <w:t xml:space="preserve">0.30</w:t>
            </w:r>
          </w:p>
        </w:tc>
      </w:tr>
      <w:tr>
        <w:trPr>
          <w:tblHeader w:val="false"/>
        </w:trPr>
        <w:tc>
          <w:tcPr>
            <w:tcW w:type="dxa" w:w="19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0.50</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8.0</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1.55</w:t>
            </w:r>
          </w:p>
        </w:tc>
        <w:tc>
          <w:tcPr>
            <w:tcW w:type="dxa" w:w="15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0.38</w:t>
            </w:r>
          </w:p>
        </w:tc>
        <w:tc>
          <w:tcPr>
            <w:tcW w:type="dxa" w:w="1900"/>
            <w:shd w:fill="F2F5FA" w:color="auto" w:val="clear"/>
            <w:tcMar>
              <w:top w:type="dxa" w:w="40"/>
              <w:left w:type="dxa" w:w="90"/>
              <w:bottom w:type="dxa" w:w="40"/>
              <w:right w:type="dxa" w:w="90"/>
            </w:tcMar>
          </w:tcPr>
          <w:p>
            <w:r>
              <w:rPr>
                <w:rFonts w:ascii="IPAGothic" w:cs="IPAGothic" w:eastAsia="IPAGothic" w:hAnsi="IPAGothic"/>
                <w:sz w:val="19"/>
                <w:szCs w:val="19"/>
              </w:rPr>
              <w:t xml:space="preserve">0.33</w:t>
            </w:r>
          </w:p>
        </w:tc>
      </w:tr>
      <w:tr>
        <w:trPr>
          <w:tblHeader w:val="false"/>
        </w:trPr>
        <w:tc>
          <w:tcPr>
            <w:tcW w:type="dxa" w:w="19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0.67</w:t>
            </w:r>
          </w:p>
        </w:tc>
        <w:tc>
          <w:tcPr>
            <w:tcW w:type="dxa" w:w="1500"/>
            <w:shd w:fill="FFFFFF" w:color="auto" w:val="clear"/>
            <w:tcMar>
              <w:top w:type="dxa" w:w="40"/>
              <w:left w:type="dxa" w:w="90"/>
              <w:bottom w:type="dxa" w:w="40"/>
              <w:right w:type="dxa" w:w="90"/>
            </w:tcMar>
          </w:tcPr>
          <w:p>
            <w:r>
              <w:rPr>
                <w:rFonts w:ascii="IPAGothic" w:cs="IPAGothic" w:eastAsia="IPAGothic" w:hAnsi="IPAGothic"/>
                <w:sz w:val="19"/>
                <w:szCs w:val="19"/>
              </w:rPr>
              <w:t xml:space="preserve">8.7</w:t>
            </w:r>
          </w:p>
        </w:tc>
        <w:tc>
          <w:tcPr>
            <w:tcW w:type="dxa" w:w="1500"/>
            <w:shd w:fill="FFFFFF" w:color="auto" w:val="clear"/>
            <w:tcMar>
              <w:top w:type="dxa" w:w="40"/>
              <w:left w:type="dxa" w:w="90"/>
              <w:bottom w:type="dxa" w:w="40"/>
              <w:right w:type="dxa" w:w="90"/>
            </w:tcMar>
          </w:tcPr>
          <w:p>
            <w:r>
              <w:rPr>
                <w:rFonts w:ascii="IPAGothic" w:cs="IPAGothic" w:eastAsia="IPAGothic" w:hAnsi="IPAGothic"/>
                <w:sz w:val="19"/>
                <w:szCs w:val="19"/>
              </w:rPr>
              <w:t xml:space="preserve">1.60</w:t>
            </w:r>
          </w:p>
        </w:tc>
        <w:tc>
          <w:tcPr>
            <w:tcW w:type="dxa" w:w="1500"/>
            <w:shd w:fill="FFFFFF" w:color="auto" w:val="clear"/>
            <w:tcMar>
              <w:top w:type="dxa" w:w="40"/>
              <w:left w:type="dxa" w:w="90"/>
              <w:bottom w:type="dxa" w:w="40"/>
              <w:right w:type="dxa" w:w="90"/>
            </w:tcMar>
          </w:tcPr>
          <w:p>
            <w:r>
              <w:rPr>
                <w:rFonts w:ascii="IPAGothic" w:cs="IPAGothic" w:eastAsia="IPAGothic" w:hAnsi="IPAGothic"/>
                <w:sz w:val="19"/>
                <w:szCs w:val="19"/>
              </w:rPr>
              <w:t xml:space="preserve">0.32</w:t>
            </w:r>
          </w:p>
        </w:tc>
        <w:tc>
          <w:tcPr>
            <w:tcW w:type="dxa" w:w="1900"/>
            <w:shd w:fill="FFFFFF" w:color="auto" w:val="clear"/>
            <w:tcMar>
              <w:top w:type="dxa" w:w="40"/>
              <w:left w:type="dxa" w:w="90"/>
              <w:bottom w:type="dxa" w:w="40"/>
              <w:right w:type="dxa" w:w="90"/>
            </w:tcMar>
          </w:tcPr>
          <w:p>
            <w:r>
              <w:rPr>
                <w:rFonts w:ascii="IPAGothic" w:cs="IPAGothic" w:eastAsia="IPAGothic" w:hAnsi="IPAGothic"/>
                <w:b/>
                <w:bCs/>
                <w:color w:val="4C78A8"/>
                <w:sz w:val="19"/>
                <w:szCs w:val="19"/>
              </w:rPr>
              <w:t xml:space="preserve">0.37</w:t>
            </w:r>
          </w:p>
        </w:tc>
      </w:tr>
      <w:tr>
        <w:trPr>
          <w:tblHeader w:val="false"/>
        </w:trPr>
        <w:tc>
          <w:tcPr>
            <w:tcW w:type="dxa" w:w="19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1.00（頻発域）</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10.0</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1.70</w:t>
            </w:r>
          </w:p>
        </w:tc>
        <w:tc>
          <w:tcPr>
            <w:tcW w:type="dxa" w:w="1500"/>
            <w:shd w:fill="F2F5FA" w:color="auto" w:val="clear"/>
            <w:tcMar>
              <w:top w:type="dxa" w:w="40"/>
              <w:left w:type="dxa" w:w="90"/>
              <w:bottom w:type="dxa" w:w="40"/>
              <w:right w:type="dxa" w:w="90"/>
            </w:tcMar>
          </w:tcPr>
          <w:p>
            <w:r>
              <w:rPr>
                <w:rFonts w:ascii="IPAGothic" w:cs="IPAGothic" w:eastAsia="IPAGothic" w:hAnsi="IPAGothic"/>
                <w:sz w:val="19"/>
                <w:szCs w:val="19"/>
              </w:rPr>
              <w:t xml:space="preserve">0.22</w:t>
            </w:r>
          </w:p>
        </w:tc>
        <w:tc>
          <w:tcPr>
            <w:tcW w:type="dxa" w:w="1900"/>
            <w:shd w:fill="F2F5FA" w:color="auto" w:val="clear"/>
            <w:tcMar>
              <w:top w:type="dxa" w:w="40"/>
              <w:left w:type="dxa" w:w="90"/>
              <w:bottom w:type="dxa" w:w="40"/>
              <w:right w:type="dxa" w:w="90"/>
            </w:tcMar>
          </w:tcPr>
          <w:p>
            <w:r>
              <w:rPr>
                <w:rFonts w:ascii="IPAGothic" w:cs="IPAGothic" w:eastAsia="IPAGothic" w:hAnsi="IPAGothic"/>
                <w:b/>
                <w:bCs/>
                <w:color w:val="4C78A8"/>
                <w:sz w:val="19"/>
                <w:szCs w:val="19"/>
              </w:rPr>
              <w:t xml:space="preserve">0.46</w:t>
            </w:r>
          </w:p>
        </w:tc>
      </w:tr>
    </w:tbl>
    <w:p>
      <w:pPr>
        <w:spacing w:after="90" w:line="276"/>
      </w:pPr>
      <w:r>
        <w:rPr>
          <w:rFonts w:ascii="IPAGothic" w:cs="IPAGothic" w:eastAsia="IPAGothic" w:hAnsi="IPAGothic"/>
          <w:b/>
          <w:bCs/>
          <w:color w:val="2E7D32"/>
          <w:sz w:val="20"/>
          <w:szCs w:val="20"/>
        </w:rPr>
        <w:t xml:space="preserve">判定＝完全成立: </w:t>
      </w:r>
      <w:r>
        <w:rPr>
          <w:rFonts w:ascii="IPAGothic" w:cs="IPAGothic" w:eastAsia="IPAGothic" w:hAnsi="IPAGothic"/>
          <w:sz w:val="20"/>
          <w:szCs w:val="20"/>
        </w:rPr>
        <w:t xml:space="preserve">曲路率STは 0.50→0.22 へ単調低下、活物質密度STは 0.24→0.46 へ単調上昇し、s≈0.58 付近で段差なく首位が交代した。有効率も 72%→98% へ単調に上がる。したがって §5.4 の入れ替わりは特定の領域境界の取り方に依存する不連続な人工物ではなく、拡散モードへ近づくほど連続的に密度支配へ移行する頑健な現象である。</w:t>
      </w:r>
    </w:p>
    <w:p>
      <w:pPr>
        <w:pStyle w:val="Heading2"/>
        <w:spacing w:after="110" w:before="220"/>
      </w:pPr>
      <w:r>
        <w:rPr>
          <w:rFonts w:ascii="IPAGothic" w:cs="IPAGothic" w:eastAsia="IPAGothic" w:hAnsi="IPAGothic"/>
        </w:rPr>
        <w:t xml:space="preserve">8.2 検証A：他時点（8年）での再現性</w:t>
      </w:r>
    </w:p>
    <w:p>
      <w:pPr>
        <w:spacing w:after="90" w:line="276"/>
      </w:pPr>
      <w:r>
        <w:rPr>
          <w:rFonts w:ascii="IPAGothic" w:cs="IPAGothic" w:eastAsia="IPAGothic" w:hAnsi="IPAGothic"/>
          <w:sz w:val="21"/>
          <w:szCs w:val="21"/>
        </w:rPr>
        <w:t xml:space="preserve">§5.4 は基準5年での結果である。より劣化が進む8年時点でも同じ入れ替わりが再現するかを、5年と同じ3手法（median代入 / penalty代入 / 代入非依存の Spearman |ρ|）で拡散モード頻発域について算出した。</w:t>
      </w:r>
    </w:p>
    <w:tbl>
      <w:tblPr>
        <w:tblW w:type="dxa" w:w="86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2000"/>
        <w:gridCol w:w="2100"/>
        <w:gridCol w:w="2100"/>
      </w:tblGrid>
      <w:tr>
        <w:trPr>
          <w:tblHeader/>
        </w:trPr>
        <w:tc>
          <w:tcPr>
            <w:tcW w:type="dxa" w:w="240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手法</w:t>
            </w:r>
          </w:p>
        </w:tc>
        <w:tc>
          <w:tcPr>
            <w:tcW w:type="dxa" w:w="20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5年 頻発域 首位</w:t>
            </w:r>
          </w:p>
        </w:tc>
        <w:tc>
          <w:tcPr>
            <w:tcW w:type="dxa" w:w="21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8年 頻発域 首位</w:t>
            </w:r>
          </w:p>
        </w:tc>
        <w:tc>
          <w:tcPr>
            <w:tcW w:type="dxa" w:w="21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8年 判定</w:t>
            </w:r>
          </w:p>
        </w:tc>
      </w:tr>
      <w:tr>
        <w:trPr>
          <w:tblHeader w:val="false"/>
        </w:trPr>
        <w:tc>
          <w:tcPr>
            <w:tcW w:type="dxa" w:w="2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Sobol ST（median 代入）</w:t>
            </w:r>
          </w:p>
        </w:tc>
        <w:tc>
          <w:tcPr>
            <w:tcW w:type="dxa" w:w="2000"/>
            <w:shd w:fill="F2F5FA" w:color="auto" w:val="clear"/>
            <w:tcMar>
              <w:top w:type="dxa" w:w="40"/>
              <w:left w:type="dxa" w:w="90"/>
              <w:bottom w:type="dxa" w:w="40"/>
              <w:right w:type="dxa" w:w="90"/>
            </w:tcMar>
          </w:tcPr>
          <w:p>
            <w:r>
              <w:rPr>
                <w:rFonts w:ascii="IPAGothic" w:cs="IPAGothic" w:eastAsia="IPAGothic" w:hAnsi="IPAGothic"/>
                <w:sz w:val="19"/>
                <w:szCs w:val="19"/>
              </w:rPr>
              <w:t xml:space="preserve">活物質密度 0.45</w:t>
            </w:r>
          </w:p>
        </w:tc>
        <w:tc>
          <w:tcPr>
            <w:tcW w:type="dxa" w:w="21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活物質密度 0.43</w:t>
            </w:r>
          </w:p>
        </w:tc>
        <w:tc>
          <w:tcPr>
            <w:tcW w:type="dxa" w:w="21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再現</w:t>
            </w:r>
          </w:p>
        </w:tc>
      </w:tr>
      <w:tr>
        <w:trPr>
          <w:tblHeader w:val="false"/>
        </w:trPr>
        <w:tc>
          <w:tcPr>
            <w:tcW w:type="dxa" w:w="2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Sobol ST（penalty 代入）</w:t>
            </w:r>
          </w:p>
        </w:tc>
        <w:tc>
          <w:tcPr>
            <w:tcW w:type="dxa" w:w="2000"/>
            <w:shd w:fill="FFFFFF" w:color="auto" w:val="clear"/>
            <w:tcMar>
              <w:top w:type="dxa" w:w="40"/>
              <w:left w:type="dxa" w:w="90"/>
              <w:bottom w:type="dxa" w:w="40"/>
              <w:right w:type="dxa" w:w="90"/>
            </w:tcMar>
          </w:tcPr>
          <w:p>
            <w:r>
              <w:rPr>
                <w:rFonts w:ascii="IPAGothic" w:cs="IPAGothic" w:eastAsia="IPAGothic" w:hAnsi="IPAGothic"/>
                <w:sz w:val="19"/>
                <w:szCs w:val="19"/>
              </w:rPr>
              <w:t xml:space="preserve">活物質密度 0.31</w:t>
            </w:r>
          </w:p>
        </w:tc>
        <w:tc>
          <w:tcPr>
            <w:tcW w:type="dxa" w:w="2100"/>
            <w:shd w:fill="FFFFFF" w:color="auto" w:val="clear"/>
            <w:tcMar>
              <w:top w:type="dxa" w:w="40"/>
              <w:left w:type="dxa" w:w="90"/>
              <w:bottom w:type="dxa" w:w="40"/>
              <w:right w:type="dxa" w:w="90"/>
            </w:tcMar>
          </w:tcPr>
          <w:p>
            <w:r>
              <w:rPr>
                <w:rFonts w:ascii="IPAGothic" w:cs="IPAGothic" w:eastAsia="IPAGothic" w:hAnsi="IPAGothic"/>
                <w:b/>
                <w:bCs/>
                <w:color w:val="B4472C"/>
                <w:sz w:val="19"/>
                <w:szCs w:val="19"/>
              </w:rPr>
              <w:t xml:space="preserve">使用温度 0.53</w:t>
            </w:r>
          </w:p>
        </w:tc>
        <w:tc>
          <w:tcPr>
            <w:tcW w:type="dxa" w:w="2100"/>
            <w:shd w:fill="FFFFFF" w:color="auto" w:val="clear"/>
            <w:tcMar>
              <w:top w:type="dxa" w:w="40"/>
              <w:left w:type="dxa" w:w="90"/>
              <w:bottom w:type="dxa" w:w="40"/>
              <w:right w:type="dxa" w:w="90"/>
            </w:tcMar>
          </w:tcPr>
          <w:p>
            <w:r>
              <w:rPr>
                <w:rFonts w:ascii="IPAGothic" w:cs="IPAGothic" w:eastAsia="IPAGothic" w:hAnsi="IPAGothic"/>
                <w:b/>
                <w:bCs/>
                <w:color w:val="B4472C"/>
                <w:sz w:val="19"/>
                <w:szCs w:val="19"/>
              </w:rPr>
              <w:t xml:space="preserve">発散</w:t>
            </w:r>
          </w:p>
        </w:tc>
      </w:tr>
      <w:tr>
        <w:trPr>
          <w:tblHeader w:val="false"/>
        </w:trPr>
        <w:tc>
          <w:tcPr>
            <w:tcW w:type="dxa" w:w="2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Spearman|ρ|（代入非依存）</w:t>
            </w:r>
          </w:p>
        </w:tc>
        <w:tc>
          <w:tcPr>
            <w:tcW w:type="dxa" w:w="2000"/>
            <w:shd w:fill="F2F5FA" w:color="auto" w:val="clear"/>
            <w:tcMar>
              <w:top w:type="dxa" w:w="40"/>
              <w:left w:type="dxa" w:w="90"/>
              <w:bottom w:type="dxa" w:w="40"/>
              <w:right w:type="dxa" w:w="90"/>
            </w:tcMar>
          </w:tcPr>
          <w:p>
            <w:r>
              <w:rPr>
                <w:rFonts w:ascii="IPAGothic" w:cs="IPAGothic" w:eastAsia="IPAGothic" w:hAnsi="IPAGothic"/>
                <w:sz w:val="19"/>
                <w:szCs w:val="19"/>
              </w:rPr>
              <w:t xml:space="preserve">活物質密度 0.66</w:t>
            </w:r>
          </w:p>
        </w:tc>
        <w:tc>
          <w:tcPr>
            <w:tcW w:type="dxa" w:w="21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活物質密度 0.63</w:t>
            </w:r>
          </w:p>
        </w:tc>
        <w:tc>
          <w:tcPr>
            <w:tcW w:type="dxa" w:w="21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再現</w:t>
            </w:r>
          </w:p>
        </w:tc>
      </w:tr>
    </w:tbl>
    <w:p>
      <w:pPr>
        <w:spacing w:after="90" w:line="276"/>
      </w:pPr>
      <w:r>
        <w:rPr>
          <w:rFonts w:ascii="IPAGothic" w:cs="IPAGothic" w:eastAsia="IPAGothic" w:hAnsi="IPAGothic"/>
          <w:b/>
          <w:bCs/>
          <w:color w:val="1F3864"/>
          <w:sz w:val="20"/>
          <w:szCs w:val="20"/>
        </w:rPr>
        <w:t xml:space="preserve">判定＝代入非依存の2手法で成立（部分成立）: </w:t>
      </w:r>
      <w:r>
        <w:rPr>
          <w:rFonts w:ascii="IPAGothic" w:cs="IPAGothic" w:eastAsia="IPAGothic" w:hAnsi="IPAGothic"/>
          <w:sz w:val="20"/>
          <w:szCs w:val="20"/>
        </w:rPr>
        <w:t xml:space="preserve">8年でも median（中央値代入）と Spearman（代入非依存）は活物質密度を首位に維持し、核心は保たれる。一方 penalty（worst-case 代入）は8年で使用温度へ発散した。これは頑健性の破れではなく想定内である—8年は300W維持不可の個体が急増（頻発域の有効率も5年98%→8年91%）し、penalty は §4.5(3) で述べたとおり「無効化の原因（高温）」を最悪値で埋めるため、劣化が進むほど温度を強く拾う。すなわち penalty の発散は §4.5(3) の既知の性質の再確認であり、代入の影響を受けない指標（median 中央値・Spearman）では8年でも密度支配が確定している。</w:t>
      </w:r>
    </w:p>
    <w:p>
      <w:pPr>
        <w:pStyle w:val="Heading2"/>
        <w:spacing w:after="110" w:before="220"/>
      </w:pPr>
      <w:r>
        <w:rPr>
          <w:rFonts w:ascii="IPAGothic" w:cs="IPAGothic" w:eastAsia="IPAGothic" w:hAnsi="IPAGothic"/>
        </w:rPr>
        <w:t xml:space="preserve">8.3 統合後の結論</w:t>
      </w:r>
    </w:p>
    <w:p>
      <w:pPr>
        <w:spacing w:after="90" w:line="276"/>
      </w:pPr>
      <w:r>
        <w:rPr>
          <w:rFonts w:ascii="IPAGothic" w:cs="IPAGothic" w:eastAsia="IPAGothic" w:hAnsi="IPAGothic"/>
          <w:sz w:val="21"/>
          <w:szCs w:val="21"/>
        </w:rPr>
        <w:t xml:space="preserve">§5.4 の核心「拡散モード頻発域で 曲路率→活物質密度 へ支配因子が入れ替わる」は、(i) 代入方針3手法（§5.4.1）、(ii) 領域境界の連続性（§8.1, 完全成立）、(iii) 他時点8年（§8.2, 代入非依存の2手法で成立）の三面から検証され、代入非依存の指標では一貫して確定した。penalty 代入が全域および8年で温度・塗布量を拾うのは、成立可否の駆動因子と Cli の大きさの駆動因子を混同する §4.5(3) の性質であり、成立可否は二値応答で別途分解済みである。したがって設計上の打ち手（活物質密度による限界Li塩濃度マージン確保）は、保存後半（8年）まで有効と結論づけられる。</w:t>
      </w:r>
    </w:p>
    <w:p>
      <w:pPr>
        <w:pStyle w:val="Heading1"/>
        <w:spacing w:after="110" w:before="220"/>
      </w:pPr>
      <w:r>
        <w:rPr>
          <w:rFonts w:ascii="IPAGothic" w:cs="IPAGothic" w:eastAsia="IPAGothic" w:hAnsi="IPAGothic"/>
        </w:rPr>
        <w:t xml:space="preserve">付録A. 実装・再現手順</w:t>
      </w:r>
    </w:p>
    <w:p>
      <w:pPr>
        <w:spacing w:after="90" w:line="276"/>
      </w:pPr>
      <w:r>
        <w:rPr>
          <w:rFonts w:ascii="IPAGothic" w:cs="IPAGothic" w:eastAsia="IPAGothic" w:hAnsi="IPAGothic"/>
          <w:sz w:val="21"/>
          <w:szCs w:val="21"/>
        </w:rPr>
        <w:t xml:space="preserve">乱数シードは全て固定し再現性を担保。図中の文言は日本語。主要モジュールは以下（mf_demo/explorer/）。</w:t>
      </w:r>
    </w:p>
    <w:p>
      <w:pPr>
        <w:pStyle w:val="ListParagraph"/>
        <w:numPr>
          <w:ilvl w:val="0"/>
          <w:numId w:val="1"/>
        </w:numPr>
        <w:spacing w:after="60" w:line="270"/>
      </w:pPr>
      <w:r>
        <w:rPr>
          <w:rFonts w:ascii="IPAGothic" w:cs="IPAGothic" w:eastAsia="IPAGothic" w:hAnsi="IPAGothic"/>
          <w:sz w:val="21"/>
          <w:szCs w:val="21"/>
        </w:rPr>
        <w:t xml:space="preserve">vendor_dcv5/dc_model.py … DC_v5 実式を無改変で取り込み（劣化式は実物）</w:t>
      </w:r>
    </w:p>
    <w:p>
      <w:pPr>
        <w:pStyle w:val="ListParagraph"/>
        <w:numPr>
          <w:ilvl w:val="0"/>
          <w:numId w:val="1"/>
        </w:numPr>
        <w:spacing w:after="60" w:line="270"/>
      </w:pPr>
      <w:r>
        <w:rPr>
          <w:rFonts w:ascii="IPAGothic" w:cs="IPAGothic" w:eastAsia="IPAGothic" w:hAnsi="IPAGothic"/>
          <w:sz w:val="21"/>
          <w:szCs w:val="21"/>
        </w:rPr>
        <w:t xml:space="preserve">cell_design.py … 独立上流変数→派生量（B-4②）</w:t>
      </w:r>
    </w:p>
    <w:p>
      <w:pPr>
        <w:pStyle w:val="ListParagraph"/>
        <w:numPr>
          <w:ilvl w:val="0"/>
          <w:numId w:val="1"/>
        </w:numPr>
        <w:spacing w:after="60" w:line="270"/>
      </w:pPr>
      <w:r>
        <w:rPr>
          <w:rFonts w:ascii="IPAGothic" w:cs="IPAGothic" w:eastAsia="IPAGothic" w:hAnsi="IPAGothic"/>
          <w:sz w:val="21"/>
          <w:szCs w:val="21"/>
        </w:rPr>
        <w:t xml:space="preserve">degradation.py … 実式ラッパ（b'=2.0, Arrhenius, 3応答=電圧/Li塩/維持可否, 2モード）</w:t>
      </w:r>
    </w:p>
    <w:p>
      <w:pPr>
        <w:pStyle w:val="ListParagraph"/>
        <w:numPr>
          <w:ilvl w:val="0"/>
          <w:numId w:val="1"/>
        </w:numPr>
        <w:spacing w:after="60" w:line="270"/>
      </w:pPr>
      <w:r>
        <w:rPr>
          <w:rFonts w:ascii="IPAGothic" w:cs="IPAGothic" w:eastAsia="IPAGothic" w:hAnsi="IPAGothic"/>
          <w:sz w:val="21"/>
          <w:szCs w:val="21"/>
        </w:rPr>
        <w:t xml:space="preserve">config.py / sensitivity.py … 分布モード・時間依存・マスキング・領域条件付き・F-1頑健性</w:t>
      </w:r>
    </w:p>
    <w:p>
      <w:pPr>
        <w:pStyle w:val="ListParagraph"/>
        <w:numPr>
          <w:ilvl w:val="0"/>
          <w:numId w:val="1"/>
        </w:numPr>
        <w:spacing w:after="60" w:line="270"/>
      </w:pPr>
      <w:r>
        <w:rPr>
          <w:rFonts w:ascii="IPAGothic" w:cs="IPAGothic" w:eastAsia="IPAGothic" w:hAnsi="IPAGothic"/>
          <w:sz w:val="21"/>
          <w:szCs w:val="21"/>
        </w:rPr>
        <w:t xml:space="preserve">plots.py / screening.py / viz_explorer.py … 感度図・スクリーニング・並行座標/コンター/アーキテクチャ</w:t>
      </w:r>
    </w:p>
    <w:p>
      <w:pPr>
        <w:spacing w:after="90" w:line="276"/>
      </w:pPr>
      <w:r>
        <w:rPr>
          <w:rFonts w:ascii="IPAGothic" w:cs="IPAGothic" w:eastAsia="IPAGothic" w:hAnsi="IPAGothic"/>
          <w:b/>
          <w:bCs/>
          <w:sz w:val="20"/>
          <w:szCs w:val="20"/>
        </w:rPr>
        <w:t xml:space="preserve">実行: </w:t>
      </w:r>
      <w:r>
        <w:rPr>
          <w:rFonts w:ascii="IPAGothic" w:cs="IPAGothic" w:eastAsia="IPAGothic" w:hAnsi="IPAGothic"/>
          <w:color w:val="595959"/>
          <w:sz w:val="19"/>
          <w:szCs w:val="19"/>
        </w:rPr>
        <w:t xml:space="preserve">python -m mf_demo.explorer.run_sensitivity 4096 2048（感度図）／ python -m mf_demo.explorer.run_explorer 600（①②③ 探索図）／ python -m mf_demo.explorer.run_figures_v3（D群・E-6・F-1）／ python -m mf_demo.explorer.run_f1_continuation（§8 の8年再現性・境界連続性, 図12）。</w:t>
      </w:r>
    </w:p>
    <w:p>
      <w:pPr>
        <w:spacing w:after="90" w:line="276"/>
      </w:pPr>
      <w:r>
        <w:rPr>
          <w:rFonts w:ascii="IPAGothic" w:cs="IPAGothic" w:eastAsia="IPAGothic" w:hAnsi="IPAGothic"/>
          <w:b/>
          <w:bCs/>
          <w:color w:val="B4472C"/>
          <w:sz w:val="19"/>
          <w:szCs w:val="19"/>
        </w:rPr>
        <w:t xml:space="preserve">免責: </w:t>
      </w:r>
      <w:r>
        <w:rPr>
          <w:rFonts w:ascii="IPAGothic" w:cs="IPAGothic" w:eastAsia="IPAGothic" w:hAnsi="IPAGothic"/>
          <w:color w:val="595959"/>
          <w:sz w:val="19"/>
          <w:szCs w:val="19"/>
        </w:rPr>
        <w:t xml:space="preserve">本プロトタイプは原理を絵で伝えることを優先した合成モデルであり、精度較正済みの設計ツールではない。数値は DC_v5 row82 近傍のオーダーに合わせてある。</w:t>
      </w:r>
    </w:p>
    <w:p>
      <w:pPr>
        <w:pStyle w:val="Heading1"/>
        <w:spacing w:after="110" w:before="220"/>
      </w:pPr>
      <w:r>
        <w:rPr>
          <w:rFonts w:ascii="IPAGothic" w:cs="IPAGothic" w:eastAsia="IPAGothic" w:hAnsi="IPAGothic"/>
        </w:rPr>
        <w:t xml:space="preserve">付録B. 改訂第3版 改善項目 完了チェックリスト</w:t>
      </w:r>
    </w:p>
    <w:p>
      <w:pPr>
        <w:spacing w:after="90" w:line="276"/>
      </w:pPr>
      <w:r>
        <w:rPr>
          <w:rFonts w:ascii="IPAGothic" w:cs="IPAGothic" w:eastAsia="IPAGothic" w:hAnsi="IPAGothic"/>
          <w:sz w:val="21"/>
          <w:szCs w:val="21"/>
        </w:rPr>
        <w:t xml:space="preserve">改善依頼書（第III部）の残14件への対応状況。第2版で解決済みの数値信頼性（N・信頼区間・収束・代入方針・二値応答・分母併記）は維持している。</w:t>
      </w:r>
    </w:p>
    <w:tbl>
      <w:tblPr>
        <w:tblW w:type="dxa" w:w="1000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4400"/>
        <w:gridCol w:w="700"/>
        <w:gridCol w:w="4000"/>
      </w:tblGrid>
      <w:tr>
        <w:trPr>
          <w:tblHeader/>
        </w:trPr>
        <w:tc>
          <w:tcPr>
            <w:tcW w:type="dxa" w:w="9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ID</w:t>
            </w:r>
          </w:p>
        </w:tc>
        <w:tc>
          <w:tcPr>
            <w:tcW w:type="dxa" w:w="440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内容</w:t>
            </w:r>
          </w:p>
        </w:tc>
        <w:tc>
          <w:tcPr>
            <w:tcW w:type="dxa" w:w="700"/>
            <w:shd w:fill="1F3864" w:color="auto" w:val="clear"/>
            <w:tcMar>
              <w:top w:type="dxa" w:w="40"/>
              <w:left w:type="dxa" w:w="90"/>
              <w:bottom w:type="dxa" w:w="40"/>
              <w:right w:type="dxa" w:w="90"/>
            </w:tcMar>
          </w:tcPr>
          <w:p>
            <w:pPr>
              <w:jc w:val="center"/>
            </w:pPr>
            <w:r>
              <w:rPr>
                <w:rFonts w:ascii="IPAGothic" w:cs="IPAGothic" w:eastAsia="IPAGothic" w:hAnsi="IPAGothic"/>
                <w:b/>
                <w:bCs/>
                <w:color w:val="FFFFFF"/>
                <w:sz w:val="19"/>
                <w:szCs w:val="19"/>
              </w:rPr>
              <w:t xml:space="preserve">完了</w:t>
            </w:r>
          </w:p>
        </w:tc>
        <w:tc>
          <w:tcPr>
            <w:tcW w:type="dxa" w:w="4000"/>
            <w:shd w:fill="1F3864" w:color="auto" w:val="clear"/>
            <w:tcMar>
              <w:top w:type="dxa" w:w="40"/>
              <w:left w:type="dxa" w:w="90"/>
              <w:bottom w:type="dxa" w:w="40"/>
              <w:right w:type="dxa" w:w="90"/>
            </w:tcMar>
          </w:tcPr>
          <w:p>
            <w:pPr>
              <w:jc w:val="left"/>
            </w:pPr>
            <w:r>
              <w:rPr>
                <w:rFonts w:ascii="IPAGothic" w:cs="IPAGothic" w:eastAsia="IPAGothic" w:hAnsi="IPAGothic"/>
                <w:b/>
                <w:bCs/>
                <w:color w:val="FFFFFF"/>
                <w:sz w:val="19"/>
                <w:szCs w:val="19"/>
              </w:rPr>
              <w:t xml:space="preserve">備考</w:t>
            </w:r>
          </w:p>
        </w:tc>
      </w:tr>
      <w:tr>
        <w:trPr>
          <w:tblHeader w:val="false"/>
        </w:trPr>
        <w:tc>
          <w:tcPr>
            <w:tcW w:type="dxa" w:w="900"/>
            <w:shd w:fill="F2F5FA" w:color="auto" w:val="clear"/>
            <w:tcMar>
              <w:top w:type="dxa" w:w="40"/>
              <w:left w:type="dxa" w:w="90"/>
              <w:bottom w:type="dxa" w:w="40"/>
              <w:right w:type="dxa" w:w="90"/>
            </w:tcMar>
          </w:tcPr>
          <w:p>
            <w:r>
              <w:rPr>
                <w:rFonts w:ascii="IPAGothic" w:cs="IPAGothic" w:eastAsia="IPAGothic" w:hAnsi="IPAGothic"/>
                <w:sz w:val="19"/>
                <w:szCs w:val="19"/>
              </w:rPr>
              <w:t xml:space="preserve">F-1</w:t>
            </w:r>
          </w:p>
        </w:tc>
        <w:tc>
          <w:tcPr>
            <w:tcW w:type="dxa" w:w="4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§5.4 のロバスト性検証（median/penalty/代入非依存手法）</w:t>
            </w:r>
          </w:p>
        </w:tc>
        <w:tc>
          <w:tcPr>
            <w:tcW w:type="dxa" w:w="7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判定=頑健。3手法とも拡散頻発域で密度首位。頻発域の代入率2%で§4.5(3)懸念を解消し格上げ（§5.4.1/図6）</w:t>
            </w:r>
          </w:p>
        </w:tc>
      </w:tr>
      <w:tr>
        <w:trPr>
          <w:tblHeader w:val="false"/>
        </w:trPr>
        <w:tc>
          <w:tcPr>
            <w:tcW w:type="dxa" w:w="900"/>
            <w:shd w:fill="FFFFFF" w:color="auto" w:val="clear"/>
            <w:tcMar>
              <w:top w:type="dxa" w:w="40"/>
              <w:left w:type="dxa" w:w="90"/>
              <w:bottom w:type="dxa" w:w="40"/>
              <w:right w:type="dxa" w:w="90"/>
            </w:tcMar>
          </w:tcPr>
          <w:p>
            <w:r>
              <w:rPr>
                <w:rFonts w:ascii="IPAGothic" w:cs="IPAGothic" w:eastAsia="IPAGothic" w:hAnsi="IPAGothic"/>
                <w:sz w:val="19"/>
                <w:szCs w:val="19"/>
              </w:rPr>
              <w:t xml:space="preserve">E-1</w:t>
            </w:r>
          </w:p>
        </w:tc>
        <w:tc>
          <w:tcPr>
            <w:tcW w:type="dxa" w:w="4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エグゼクティブサマリー書き換え</w:t>
            </w:r>
          </w:p>
        </w:tc>
        <w:tc>
          <w:tcPr>
            <w:tcW w:type="dxa" w:w="70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核心=§5.4/F-1、モード遷移=UP成果、部分整合、§4.5(3)発見を明記</w:t>
            </w:r>
          </w:p>
        </w:tc>
      </w:tr>
      <w:tr>
        <w:trPr>
          <w:tblHeader w:val="false"/>
        </w:trPr>
        <w:tc>
          <w:tcPr>
            <w:tcW w:type="dxa" w:w="900"/>
            <w:shd w:fill="F2F5FA" w:color="auto" w:val="clear"/>
            <w:tcMar>
              <w:top w:type="dxa" w:w="40"/>
              <w:left w:type="dxa" w:w="90"/>
              <w:bottom w:type="dxa" w:w="40"/>
              <w:right w:type="dxa" w:w="90"/>
            </w:tcMar>
          </w:tcPr>
          <w:p>
            <w:r>
              <w:rPr>
                <w:rFonts w:ascii="IPAGothic" w:cs="IPAGothic" w:eastAsia="IPAGothic" w:hAnsi="IPAGothic"/>
                <w:sz w:val="19"/>
                <w:szCs w:val="19"/>
              </w:rPr>
              <w:t xml:space="preserve">E-2</w:t>
            </w:r>
          </w:p>
        </w:tc>
        <w:tc>
          <w:tcPr>
            <w:tcW w:type="dxa" w:w="4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§7 結論の書き換え</w:t>
            </w:r>
          </w:p>
        </w:tc>
        <w:tc>
          <w:tcPr>
            <w:tcW w:type="dxa" w:w="7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§5.4確定を明記。代入依存性・二値分解を含め、モード遷移をUPへ格下げ。F-1残課題を今後へ</w:t>
            </w:r>
          </w:p>
        </w:tc>
      </w:tr>
      <w:tr>
        <w:trPr>
          <w:tblHeader w:val="false"/>
        </w:trPr>
        <w:tc>
          <w:tcPr>
            <w:tcW w:type="dxa" w:w="900"/>
            <w:shd w:fill="FFFFFF" w:color="auto" w:val="clear"/>
            <w:tcMar>
              <w:top w:type="dxa" w:w="40"/>
              <w:left w:type="dxa" w:w="90"/>
              <w:bottom w:type="dxa" w:w="40"/>
              <w:right w:type="dxa" w:w="90"/>
            </w:tcMar>
          </w:tcPr>
          <w:p>
            <w:r>
              <w:rPr>
                <w:rFonts w:ascii="IPAGothic" w:cs="IPAGothic" w:eastAsia="IPAGothic" w:hAnsi="IPAGothic"/>
                <w:sz w:val="19"/>
                <w:szCs w:val="19"/>
              </w:rPr>
              <w:t xml:space="preserve">E-4</w:t>
            </w:r>
          </w:p>
        </w:tc>
        <w:tc>
          <w:tcPr>
            <w:tcW w:type="dxa" w:w="4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拡散モード割合の記述修正（分母で書き分け）</w:t>
            </w:r>
          </w:p>
        </w:tc>
        <w:tc>
          <w:tcPr>
            <w:tcW w:type="dxa" w:w="70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全基準44→47→42%（希釈で減少）、有効基準53→68%（増加）を機構まで記述（§5.2）</w:t>
            </w:r>
          </w:p>
        </w:tc>
      </w:tr>
      <w:tr>
        <w:trPr>
          <w:tblHeader w:val="false"/>
        </w:trPr>
        <w:tc>
          <w:tcPr>
            <w:tcW w:type="dxa" w:w="900"/>
            <w:shd w:fill="F2F5FA" w:color="auto" w:val="clear"/>
            <w:tcMar>
              <w:top w:type="dxa" w:w="40"/>
              <w:left w:type="dxa" w:w="90"/>
              <w:bottom w:type="dxa" w:w="40"/>
              <w:right w:type="dxa" w:w="90"/>
            </w:tcMar>
          </w:tcPr>
          <w:p>
            <w:r>
              <w:rPr>
                <w:rFonts w:ascii="IPAGothic" w:cs="IPAGothic" w:eastAsia="IPAGothic" w:hAnsi="IPAGothic"/>
                <w:sz w:val="19"/>
                <w:szCs w:val="19"/>
              </w:rPr>
              <w:t xml:space="preserve">B-2</w:t>
            </w:r>
          </w:p>
        </w:tc>
        <w:tc>
          <w:tcPr>
            <w:tcW w:type="dxa" w:w="4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§5.5 新設＋参照切れ修正</w:t>
            </w:r>
          </w:p>
        </w:tc>
        <w:tc>
          <w:tcPr>
            <w:tcW w:type="dxa" w:w="7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§5.5「分布モードによる支配因子の反転」新設。§5.1末尾の参照を§5.5へ修正</w:t>
            </w:r>
          </w:p>
        </w:tc>
      </w:tr>
      <w:tr>
        <w:trPr>
          <w:tblHeader w:val="false"/>
        </w:trPr>
        <w:tc>
          <w:tcPr>
            <w:tcW w:type="dxa" w:w="900"/>
            <w:shd w:fill="FFFFFF" w:color="auto" w:val="clear"/>
            <w:tcMar>
              <w:top w:type="dxa" w:w="40"/>
              <w:left w:type="dxa" w:w="90"/>
              <w:bottom w:type="dxa" w:w="40"/>
              <w:right w:type="dxa" w:w="90"/>
            </w:tcMar>
          </w:tcPr>
          <w:p>
            <w:r>
              <w:rPr>
                <w:rFonts w:ascii="IPAGothic" w:cs="IPAGothic" w:eastAsia="IPAGothic" w:hAnsi="IPAGothic"/>
                <w:sz w:val="19"/>
                <w:szCs w:val="19"/>
              </w:rPr>
              <w:t xml:space="preserve">E-5</w:t>
            </w:r>
          </w:p>
        </w:tc>
        <w:tc>
          <w:tcPr>
            <w:tcW w:type="dxa" w:w="4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N 表記の統一（全図キャプション）</w:t>
            </w:r>
          </w:p>
        </w:tc>
        <w:tc>
          <w:tcPr>
            <w:tcW w:type="dxa" w:w="70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N=4096/2048/1024 の使い分け理由を§4.5に明記。全図に N＋実評価点数を併記</w:t>
            </w:r>
          </w:p>
        </w:tc>
      </w:tr>
      <w:tr>
        <w:trPr>
          <w:tblHeader w:val="false"/>
        </w:trPr>
        <w:tc>
          <w:tcPr>
            <w:tcW w:type="dxa" w:w="900"/>
            <w:shd w:fill="F2F5FA" w:color="auto" w:val="clear"/>
            <w:tcMar>
              <w:top w:type="dxa" w:w="40"/>
              <w:left w:type="dxa" w:w="90"/>
              <w:bottom w:type="dxa" w:w="40"/>
              <w:right w:type="dxa" w:w="90"/>
            </w:tcMar>
          </w:tcPr>
          <w:p>
            <w:r>
              <w:rPr>
                <w:rFonts w:ascii="IPAGothic" w:cs="IPAGothic" w:eastAsia="IPAGothic" w:hAnsi="IPAGothic"/>
                <w:sz w:val="19"/>
                <w:szCs w:val="19"/>
              </w:rPr>
              <w:t xml:space="preserve">D-1</w:t>
            </w:r>
          </w:p>
        </w:tc>
        <w:tc>
          <w:tcPr>
            <w:tcW w:type="dxa" w:w="4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図9 の固定値明記</w:t>
            </w:r>
          </w:p>
        </w:tc>
        <w:tc>
          <w:tcPr>
            <w:tcW w:type="dxa" w:w="7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固定5変数（利用率0.205/密度3.5/拡散4.0e-10/曲路率1.6/温度38℃）をキャプション明記</w:t>
            </w:r>
          </w:p>
        </w:tc>
      </w:tr>
      <w:tr>
        <w:trPr>
          <w:tblHeader w:val="false"/>
        </w:trPr>
        <w:tc>
          <w:tcPr>
            <w:tcW w:type="dxa" w:w="900"/>
            <w:shd w:fill="FFFFFF" w:color="auto" w:val="clear"/>
            <w:tcMar>
              <w:top w:type="dxa" w:w="40"/>
              <w:left w:type="dxa" w:w="90"/>
              <w:bottom w:type="dxa" w:w="40"/>
              <w:right w:type="dxa" w:w="90"/>
            </w:tcMar>
          </w:tcPr>
          <w:p>
            <w:r>
              <w:rPr>
                <w:rFonts w:ascii="IPAGothic" w:cs="IPAGothic" w:eastAsia="IPAGothic" w:hAnsi="IPAGothic"/>
                <w:sz w:val="19"/>
                <w:szCs w:val="19"/>
              </w:rPr>
              <w:t xml:space="preserve">D-2</w:t>
            </w:r>
          </w:p>
        </w:tc>
        <w:tc>
          <w:tcPr>
            <w:tcW w:type="dxa" w:w="4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軸選択根拠＋塗布量×密度 断面の追加</w:t>
            </w:r>
          </w:p>
        </w:tc>
        <w:tc>
          <w:tcPr>
            <w:tcW w:type="dxa" w:w="70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「y_end基準で軸選択」を明記。Cli主体の塗布量×密度断面（図10）を新規追加、両制約線重ね</w:t>
            </w:r>
          </w:p>
        </w:tc>
      </w:tr>
      <w:tr>
        <w:trPr>
          <w:tblHeader w:val="false"/>
        </w:trPr>
        <w:tc>
          <w:tcPr>
            <w:tcW w:type="dxa" w:w="900"/>
            <w:shd w:fill="F2F5FA" w:color="auto" w:val="clear"/>
            <w:tcMar>
              <w:top w:type="dxa" w:w="40"/>
              <w:left w:type="dxa" w:w="90"/>
              <w:bottom w:type="dxa" w:w="40"/>
              <w:right w:type="dxa" w:w="90"/>
            </w:tcMar>
          </w:tcPr>
          <w:p>
            <w:r>
              <w:rPr>
                <w:rFonts w:ascii="IPAGothic" w:cs="IPAGothic" w:eastAsia="IPAGothic" w:hAnsi="IPAGothic"/>
                <w:sz w:val="19"/>
                <w:szCs w:val="19"/>
              </w:rPr>
              <w:t xml:space="preserve">D-3</w:t>
            </w:r>
          </w:p>
        </w:tc>
        <w:tc>
          <w:tcPr>
            <w:tcW w:type="dxa" w:w="4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コンター条件比較（曲路率 低/中/高）</w:t>
            </w:r>
          </w:p>
        </w:tc>
        <w:tc>
          <w:tcPr>
            <w:tcW w:type="dxa" w:w="7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曲路率1.4/1.7/2.0 の3枚横並び（図11）。2.0で全域NG。§6.3</w:t>
            </w:r>
          </w:p>
        </w:tc>
      </w:tr>
      <w:tr>
        <w:trPr>
          <w:tblHeader w:val="false"/>
        </w:trPr>
        <w:tc>
          <w:tcPr>
            <w:tcW w:type="dxa" w:w="900"/>
            <w:shd w:fill="FFFFFF" w:color="auto" w:val="clear"/>
            <w:tcMar>
              <w:top w:type="dxa" w:w="40"/>
              <w:left w:type="dxa" w:w="90"/>
              <w:bottom w:type="dxa" w:w="40"/>
              <w:right w:type="dxa" w:w="90"/>
            </w:tcMar>
          </w:tcPr>
          <w:p>
            <w:r>
              <w:rPr>
                <w:rFonts w:ascii="IPAGothic" w:cs="IPAGothic" w:eastAsia="IPAGothic" w:hAnsi="IPAGothic"/>
                <w:sz w:val="19"/>
                <w:szCs w:val="19"/>
              </w:rPr>
              <w:t xml:space="preserve">D-4-1</w:t>
            </w:r>
          </w:p>
        </w:tc>
        <w:tc>
          <w:tcPr>
            <w:tcW w:type="dxa" w:w="4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図5 の因子分類による色分け</w:t>
            </w:r>
          </w:p>
        </w:tc>
        <w:tc>
          <w:tcPr>
            <w:tcW w:type="dxa" w:w="70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設計因子／材料物性／使用条件 で棒を色分け（図5）</w:t>
            </w:r>
          </w:p>
        </w:tc>
      </w:tr>
      <w:tr>
        <w:trPr>
          <w:tblHeader w:val="false"/>
        </w:trPr>
        <w:tc>
          <w:tcPr>
            <w:tcW w:type="dxa" w:w="900"/>
            <w:shd w:fill="F2F5FA" w:color="auto" w:val="clear"/>
            <w:tcMar>
              <w:top w:type="dxa" w:w="40"/>
              <w:left w:type="dxa" w:w="90"/>
              <w:bottom w:type="dxa" w:w="40"/>
              <w:right w:type="dxa" w:w="90"/>
            </w:tcMar>
          </w:tcPr>
          <w:p>
            <w:r>
              <w:rPr>
                <w:rFonts w:ascii="IPAGothic" w:cs="IPAGothic" w:eastAsia="IPAGothic" w:hAnsi="IPAGothic"/>
                <w:sz w:val="19"/>
                <w:szCs w:val="19"/>
              </w:rPr>
              <w:t xml:space="preserve">D-4-2</w:t>
            </w:r>
          </w:p>
        </w:tc>
        <w:tc>
          <w:tcPr>
            <w:tcW w:type="dxa" w:w="4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図5 の段階的3領域化</w:t>
            </w:r>
          </w:p>
        </w:tc>
        <w:tc>
          <w:tcPr>
            <w:tcW w:type="dxa" w:w="7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全域→中間→拡散頻発域 の3領域で連続的な首位入れ替わりを表示（図5）</w:t>
            </w:r>
          </w:p>
        </w:tc>
      </w:tr>
      <w:tr>
        <w:trPr>
          <w:tblHeader w:val="false"/>
        </w:trPr>
        <w:tc>
          <w:tcPr>
            <w:tcW w:type="dxa" w:w="900"/>
            <w:shd w:fill="FFFFFF" w:color="auto" w:val="clear"/>
            <w:tcMar>
              <w:top w:type="dxa" w:w="40"/>
              <w:left w:type="dxa" w:w="90"/>
              <w:bottom w:type="dxa" w:w="40"/>
              <w:right w:type="dxa" w:w="90"/>
            </w:tcMar>
          </w:tcPr>
          <w:p>
            <w:r>
              <w:rPr>
                <w:rFonts w:ascii="IPAGothic" w:cs="IPAGothic" w:eastAsia="IPAGothic" w:hAnsi="IPAGothic"/>
                <w:sz w:val="19"/>
                <w:szCs w:val="19"/>
              </w:rPr>
              <w:t xml:space="preserve">D-4-3</w:t>
            </w:r>
          </w:p>
        </w:tc>
        <w:tc>
          <w:tcPr>
            <w:tcW w:type="dxa" w:w="4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図5 に各領域のサンプル数・有効率・代入率を明記</w:t>
            </w:r>
          </w:p>
        </w:tc>
        <w:tc>
          <w:tcPr>
            <w:tcW w:type="dxa" w:w="70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各領域ラベルに N・有効率・代入率を併記（F-1と直結, 表§5.4.1と一致）</w:t>
            </w:r>
          </w:p>
        </w:tc>
      </w:tr>
      <w:tr>
        <w:trPr>
          <w:tblHeader w:val="false"/>
        </w:trPr>
        <w:tc>
          <w:tcPr>
            <w:tcW w:type="dxa" w:w="900"/>
            <w:shd w:fill="F2F5FA" w:color="auto" w:val="clear"/>
            <w:tcMar>
              <w:top w:type="dxa" w:w="40"/>
              <w:left w:type="dxa" w:w="90"/>
              <w:bottom w:type="dxa" w:w="40"/>
              <w:right w:type="dxa" w:w="90"/>
            </w:tcMar>
          </w:tcPr>
          <w:p>
            <w:r>
              <w:rPr>
                <w:rFonts w:ascii="IPAGothic" w:cs="IPAGothic" w:eastAsia="IPAGothic" w:hAnsi="IPAGothic"/>
                <w:sz w:val="19"/>
                <w:szCs w:val="19"/>
              </w:rPr>
              <w:t xml:space="preserve">E-6</w:t>
            </w:r>
          </w:p>
        </w:tc>
        <w:tc>
          <w:tcPr>
            <w:tcW w:type="dxa" w:w="44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図3右を3分割積み上げ面グラフへ</w:t>
            </w:r>
          </w:p>
        </w:tc>
        <w:tc>
          <w:tcPr>
            <w:tcW w:type="dxa" w:w="700"/>
            <w:shd w:fill="F2F5FA"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2F5FA" w:color="auto" w:val="clear"/>
            <w:tcMar>
              <w:top w:type="dxa" w:w="40"/>
              <w:left w:type="dxa" w:w="90"/>
              <w:bottom w:type="dxa" w:w="40"/>
              <w:right w:type="dxa" w:w="90"/>
            </w:tcMar>
          </w:tcPr>
          <w:p>
            <w:pPr>
              <w:jc w:val="left"/>
            </w:pPr>
            <w:r>
              <w:rPr>
                <w:rFonts w:ascii="IPAGothic" w:cs="IPAGothic" w:eastAsia="IPAGothic" w:hAnsi="IPAGothic"/>
                <w:sz w:val="19"/>
                <w:szCs w:val="19"/>
              </w:rPr>
              <w:t xml:space="preserve">抵抗劣化／拡散劣化／300W維持不可 の合計100%積み上げを主（図3）、折れ線を従（図3補）</w:t>
            </w:r>
          </w:p>
        </w:tc>
      </w:tr>
      <w:tr>
        <w:trPr>
          <w:tblHeader w:val="false"/>
        </w:trPr>
        <w:tc>
          <w:tcPr>
            <w:tcW w:type="dxa" w:w="900"/>
            <w:shd w:fill="FFFFFF" w:color="auto" w:val="clear"/>
            <w:tcMar>
              <w:top w:type="dxa" w:w="40"/>
              <w:left w:type="dxa" w:w="90"/>
              <w:bottom w:type="dxa" w:w="40"/>
              <w:right w:type="dxa" w:w="90"/>
            </w:tcMar>
          </w:tcPr>
          <w:p>
            <w:r>
              <w:rPr>
                <w:rFonts w:ascii="IPAGothic" w:cs="IPAGothic" w:eastAsia="IPAGothic" w:hAnsi="IPAGothic"/>
                <w:sz w:val="19"/>
                <w:szCs w:val="19"/>
              </w:rPr>
              <w:t xml:space="preserve">E-3</w:t>
            </w:r>
          </w:p>
        </w:tc>
        <w:tc>
          <w:tcPr>
            <w:tcW w:type="dxa" w:w="44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曲路率範囲の妥当性検討＋C-2補</w:t>
            </w:r>
          </w:p>
        </w:tc>
        <w:tc>
          <w:tcPr>
            <w:tcW w:type="dxa" w:w="700"/>
            <w:shd w:fill="FFFFFF"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FFFFF" w:color="auto" w:val="clear"/>
            <w:tcMar>
              <w:top w:type="dxa" w:w="40"/>
              <w:left w:type="dxa" w:w="90"/>
              <w:bottom w:type="dxa" w:w="40"/>
              <w:right w:type="dxa" w:w="90"/>
            </w:tcMar>
          </w:tcPr>
          <w:p>
            <w:pPr>
              <w:jc w:val="left"/>
            </w:pPr>
            <w:r>
              <w:rPr>
                <w:rFonts w:ascii="IPAGothic" w:cs="IPAGothic" w:eastAsia="IPAGothic" w:hAnsi="IPAGothic"/>
                <w:sz w:val="19"/>
                <w:szCs w:val="19"/>
              </w:rPr>
              <w:t xml:space="preserve">範囲0.60はばらつき3σ(0.58)相当で過大でない。狭域(1.5-1.7)では曲路率順位低下。C-2補で不成立説明を削除（§3.2）</w:t>
            </w:r>
          </w:p>
        </w:tc>
      </w:tr>
      <w:tr>
        <w:trPr>
          <w:tblHeader w:val="false"/>
        </w:trPr>
        <w:tc>
          <w:tcPr>
            <w:tcW w:type="dxa" w:w="900"/>
            <w:shd w:fill="FCE4D6" w:color="auto" w:val="clear"/>
            <w:tcMar>
              <w:top w:type="dxa" w:w="40"/>
              <w:left w:type="dxa" w:w="90"/>
              <w:bottom w:type="dxa" w:w="40"/>
              <w:right w:type="dxa" w:w="90"/>
            </w:tcMar>
          </w:tcPr>
          <w:p>
            <w:r>
              <w:rPr>
                <w:rFonts w:ascii="IPAGothic" w:cs="IPAGothic" w:eastAsia="IPAGothic" w:hAnsi="IPAGothic"/>
                <w:sz w:val="19"/>
                <w:szCs w:val="19"/>
              </w:rPr>
              <w:t xml:space="preserve">F-1補</w:t>
            </w:r>
          </w:p>
        </w:tc>
        <w:tc>
          <w:tcPr>
            <w:tcW w:type="dxa" w:w="4400"/>
            <w:shd w:fill="FCE4D6" w:color="auto" w:val="clear"/>
            <w:tcMar>
              <w:top w:type="dxa" w:w="40"/>
              <w:left w:type="dxa" w:w="90"/>
              <w:bottom w:type="dxa" w:w="40"/>
              <w:right w:type="dxa" w:w="90"/>
            </w:tcMar>
          </w:tcPr>
          <w:p>
            <w:pPr>
              <w:jc w:val="left"/>
            </w:pPr>
            <w:r>
              <w:rPr>
                <w:rFonts w:ascii="IPAGothic" w:cs="IPAGothic" w:eastAsia="IPAGothic" w:hAnsi="IPAGothic"/>
                <w:sz w:val="19"/>
                <w:szCs w:val="19"/>
              </w:rPr>
              <w:t xml:space="preserve">§5.4 残課題の消し込み（統合版で追加）</w:t>
            </w:r>
          </w:p>
        </w:tc>
        <w:tc>
          <w:tcPr>
            <w:tcW w:type="dxa" w:w="700"/>
            <w:shd w:fill="FCE4D6" w:color="auto" w:val="clear"/>
            <w:tcMar>
              <w:top w:type="dxa" w:w="40"/>
              <w:left w:type="dxa" w:w="90"/>
              <w:bottom w:type="dxa" w:w="40"/>
              <w:right w:type="dxa" w:w="90"/>
            </w:tcMar>
          </w:tcPr>
          <w:p>
            <w:r>
              <w:rPr>
                <w:rFonts w:ascii="IPAGothic" w:cs="IPAGothic" w:eastAsia="IPAGothic" w:hAnsi="IPAGothic"/>
                <w:b/>
                <w:bCs/>
                <w:color w:val="2E7D32"/>
                <w:sz w:val="19"/>
                <w:szCs w:val="19"/>
              </w:rPr>
              <w:t xml:space="preserve">✓</w:t>
            </w:r>
          </w:p>
        </w:tc>
        <w:tc>
          <w:tcPr>
            <w:tcW w:type="dxa" w:w="4000"/>
            <w:shd w:fill="FCE4D6" w:color="auto" w:val="clear"/>
            <w:tcMar>
              <w:top w:type="dxa" w:w="40"/>
              <w:left w:type="dxa" w:w="90"/>
              <w:bottom w:type="dxa" w:w="40"/>
              <w:right w:type="dxa" w:w="90"/>
            </w:tcMar>
          </w:tcPr>
          <w:p>
            <w:pPr>
              <w:jc w:val="left"/>
            </w:pPr>
            <w:r>
              <w:rPr>
                <w:rFonts w:ascii="IPAGothic" w:cs="IPAGothic" w:eastAsia="IPAGothic" w:hAnsi="IPAGothic"/>
                <w:sz w:val="19"/>
                <w:szCs w:val="19"/>
              </w:rPr>
              <w:t xml:space="preserve">§8: 境界連続性=完全成立（s≈0.58で滑らか交代, 図12左）／8年再現性=median・Spearman で成立、penaltyは温度へ発散（§4.5(3)効果, 図12右）</w:t>
            </w:r>
          </w:p>
        </w:tc>
      </w:tr>
    </w:tbl>
    <w:p>
      <w:pPr>
        <w:spacing w:after="90" w:line="276"/>
      </w:pPr>
      <w:r>
        <w:rPr>
          <w:rFonts w:ascii="IPAGothic" w:cs="IPAGothic" w:eastAsia="IPAGothic" w:hAnsi="IPAGothic"/>
          <w:b/>
          <w:bCs/>
          <w:color w:val="B4472C"/>
          <w:sz w:val="18"/>
          <w:szCs w:val="18"/>
        </w:rPr>
        <w:t xml:space="preserve">注（統合版）: </w:t>
      </w:r>
      <w:r>
        <w:rPr>
          <w:rFonts w:ascii="IPAGothic" w:cs="IPAGothic" w:eastAsia="IPAGothic" w:hAnsi="IPAGothic"/>
          <w:color w:val="595959"/>
          <w:sz w:val="18"/>
          <w:szCs w:val="18"/>
        </w:rPr>
        <w:t xml:space="preserve">本統合版は改訂第3版（14項目 完了）に、§7 で「今後」としていた F-1 残課題の検証（§8）を統合したもの。数値信頼性・14項目の結論は改訂第3版から不変。</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PAGothic" w:cs="IPAGothic" w:eastAsia="IPAGothic" w:hAnsi="IPAGothic"/>
        <w:color w:val="595959"/>
        <w:sz w:val="16"/>
        <w:szCs w:val="16"/>
      </w:rPr>
      <w:t xml:space="preserve">DC向けセル 保存劣化 感度解析報告書（統合版）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PAGothic" w:cs="IPAGothic" w:eastAsia="IPAGothic" w:hAnsi="IPA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IPAGothic" w:cs="IPAGothic" w:eastAsia="IPAGothic" w:hAnsi="IPAGothic"/>
      <w:b/>
      <w:bCs/>
      <w:color w:val="1F3864"/>
      <w:sz w:val="30"/>
      <w:szCs w:val="30"/>
    </w:rPr>
  </w:style>
  <w:style w:type="paragraph" w:styleId="Heading2">
    <w:name w:val="Heading 2"/>
    <w:basedOn w:val="Normal"/>
    <w:next w:val="Normal"/>
    <w:qFormat/>
    <w:pPr>
      <w:spacing w:after="100" w:before="200"/>
      <w:outlineLvl w:val="1"/>
    </w:pPr>
    <w:rPr>
      <w:rFonts w:ascii="IPAGothic" w:cs="IPAGothic" w:eastAsia="IPAGothic" w:hAnsi="IPAGothic"/>
      <w:b/>
      <w:bCs/>
      <w:color w:val="B447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1257f70e27fc864228060beffd1cc6e58c0c56.png"/><Relationship Id="rId9" Type="http://schemas.openxmlformats.org/officeDocument/2006/relationships/image" Target="media/039547b8774a1bbb1df36e41becf42c51aabda03.png"/><Relationship Id="rId10" Type="http://schemas.openxmlformats.org/officeDocument/2006/relationships/image" Target="media/5e10d2b18a947e8a82638b6c0d66e3f4210faab2.png"/><Relationship Id="rId11" Type="http://schemas.openxmlformats.org/officeDocument/2006/relationships/image" Target="media/bebabc09a7a384cb2c1704318604cc90608fd4c9.png"/><Relationship Id="rId12" Type="http://schemas.openxmlformats.org/officeDocument/2006/relationships/image" Target="media/f2d145a7c6261e2098e1fbdfbf913240dbcbe2e5.png"/><Relationship Id="rId13" Type="http://schemas.openxmlformats.org/officeDocument/2006/relationships/image" Target="media/ca60785ec0cae059151cfc986c06066a70125d65.png"/><Relationship Id="rId14" Type="http://schemas.openxmlformats.org/officeDocument/2006/relationships/image" Target="media/e0ab296cd563ab1abddf73afbf9e0482800bcdba.png"/><Relationship Id="rId15" Type="http://schemas.openxmlformats.org/officeDocument/2006/relationships/image" Target="media/906568b78030b74e2844b0c56da4c12b13899091.png"/><Relationship Id="rId16" Type="http://schemas.openxmlformats.org/officeDocument/2006/relationships/image" Target="media/9ffa1c6cea0b9ca81694f3125fdf69c8024d9c89.png"/><Relationship Id="rId17" Type="http://schemas.openxmlformats.org/officeDocument/2006/relationships/image" Target="media/d3040f88600245e81ef60eb23ca41c96ffa35ef3.png"/><Relationship Id="rId18" Type="http://schemas.openxmlformats.org/officeDocument/2006/relationships/image" Target="media/eb93d241c2a1b50c38c2b24065d5003d3c34af54.png"/><Relationship Id="rId19" Type="http://schemas.openxmlformats.org/officeDocument/2006/relationships/image" Target="media/ea94f83974086d99512486026422ad434892e108.png"/><Relationship Id="rId20" Type="http://schemas.openxmlformats.org/officeDocument/2006/relationships/image" Target="media/2a0bc4cfb2a2f07ca815e7106bff5355ea816376.png"/><Relationship Id="rId21" Type="http://schemas.openxmlformats.org/officeDocument/2006/relationships/image" Target="media/f2bf8cc3007481e0c9b33487187a4e5ffea24b9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2026-07-23T15:02:20.425Z</dcterms:created>
  <dcterms:modified xsi:type="dcterms:W3CDTF">2026-07-23T15:02:20.441Z</dcterms:modified>
</cp:coreProperties>
</file>

<file path=docProps/custom.xml><?xml version="1.0" encoding="utf-8"?>
<Properties xmlns="http://schemas.openxmlformats.org/officeDocument/2006/custom-properties" xmlns:vt="http://schemas.openxmlformats.org/officeDocument/2006/docPropsVTypes"/>
</file>