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rFonts w:ascii="IPAGothic" w:cs="IPAGothic" w:eastAsia="IPAGothic" w:hAnsi="IPAGothic"/>
          <w:b/>
          <w:bCs/>
          <w:color w:val="1F3864"/>
          <w:sz w:val="40"/>
          <w:szCs w:val="40"/>
        </w:rPr>
        <w:t xml:space="preserve">DC向けセル 保存劣化モデルの</w:t>
      </w:r>
    </w:p>
    <w:p>
      <w:pPr>
        <w:spacing w:after="500"/>
        <w:jc w:val="center"/>
      </w:pPr>
      <w:r>
        <w:rPr>
          <w:rFonts w:ascii="IPAGothic" w:cs="IPAGothic" w:eastAsia="IPAGothic" w:hAnsi="IPAGothic"/>
          <w:b/>
          <w:bCs/>
          <w:color w:val="1F3864"/>
          <w:sz w:val="40"/>
          <w:szCs w:val="40"/>
        </w:rPr>
        <w:t xml:space="preserve">感度解析と設計探索アーキテクチャ</w:t>
      </w:r>
    </w:p>
    <w:p>
      <w:pPr>
        <w:spacing w:after="100"/>
        <w:jc w:val="center"/>
      </w:pPr>
      <w:r>
        <w:rPr>
          <w:rFonts w:ascii="IPAGothic" w:cs="IPAGothic" w:eastAsia="IPAGothic" w:hAnsi="IPAGothic"/>
          <w:color w:val="B4472C"/>
          <w:sz w:val="24"/>
          <w:szCs w:val="24"/>
        </w:rPr>
        <w:t xml:space="preserve">― 理論式ベース Sobol 感度解析による支配因子・支配モードの変遷可視化 ―</w:t>
      </w:r>
    </w:p>
    <w:p>
      <w:pPr>
        <w:spacing w:after="60" w:before="900"/>
        <w:jc w:val="center"/>
      </w:pPr>
      <w:r>
        <w:rPr>
          <w:rFonts w:ascii="IPAGothic" w:cs="IPAGothic" w:eastAsia="IPAGothic" w:hAnsi="IPAGothic"/>
          <w:b/>
          <w:bCs/>
          <w:sz w:val="26"/>
          <w:szCs w:val="26"/>
        </w:rPr>
        <w:t xml:space="preserve">プロトタイプ実装報告書</w:t>
      </w:r>
    </w:p>
    <w:p>
      <w:pPr>
        <w:spacing w:after="40"/>
        <w:jc w:val="center"/>
      </w:pPr>
      <w:r>
        <w:rPr>
          <w:rFonts w:ascii="IPAGothic" w:cs="IPAGothic" w:eastAsia="IPAGothic" w:hAnsi="IPAGothic"/>
          <w:color w:val="595959"/>
          <w:sz w:val="19"/>
          <w:szCs w:val="19"/>
        </w:rPr>
        <w:t xml:space="preserve">対象: DC_v5 保存劣化理論式（社内テクニカルレポート T0073-2025-00305 / NCR2170JB Step2 準拠）</w:t>
      </w:r>
    </w:p>
    <w:p>
      <w:pPr>
        <w:jc w:val="center"/>
      </w:pPr>
      <w:r>
        <w:rPr>
          <w:rFonts w:ascii="IPAGothic" w:cs="IPAGothic" w:eastAsia="IPAGothic" w:hAnsi="IPAGothic"/>
          <w:color w:val="595959"/>
          <w:sz w:val="19"/>
          <w:szCs w:val="19"/>
        </w:rPr>
        <w:t xml:space="preserve">作成日: 2026-07-19</w:t>
      </w:r>
    </w:p>
    <w:p>
      <w:r>
        <w:br w:type="page"/>
      </w:r>
    </w:p>
    <w:p>
      <w:pPr>
        <w:pStyle w:val="Heading1"/>
        <w:spacing w:after="110" w:before="220"/>
      </w:pPr>
      <w:r>
        <w:rPr>
          <w:rFonts w:ascii="IPAGothic" w:cs="IPAGothic" w:eastAsia="IPAGothic" w:hAnsi="IPAGothic"/>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pacing w:after="110" w:before="220"/>
      </w:pPr>
      <w:r>
        <w:rPr>
          <w:rFonts w:ascii="IPAGothic" w:cs="IPAGothic" w:eastAsia="IPAGothic" w:hAnsi="IPAGothic"/>
        </w:rPr>
        <w:t xml:space="preserve">概要（エグゼクティブサマリー）</w:t>
      </w:r>
    </w:p>
    <w:p>
      <w:pPr>
        <w:spacing w:after="90" w:line="276"/>
      </w:pPr>
      <w:r>
        <w:rPr>
          <w:rFonts w:ascii="IPAGothic" w:cs="IPAGothic" w:eastAsia="IPAGothic" w:hAnsi="IPAGothic"/>
          <w:sz w:val="21"/>
          <w:szCs w:val="21"/>
        </w:rPr>
        <w:t xml:space="preserve">データセンター（DC）向け高出力円筒セルでは、保存後の出力劣化が設計成立の鍵となる。本報告書は、社内で構築済みの保存劣化理論式（DC_v5, 定W放電モデル）を直接モンテカルロで叩く Sobol 感度解析のプロトタイプを実装し、設計探索3点セット（コンター図・並行座標・感度ネットワーク図）と統合した設計探索アーキテクチャを提示する。</w:t>
      </w:r>
    </w:p>
    <w:p>
      <w:pPr>
        <w:spacing w:after="90" w:line="276"/>
      </w:pPr>
      <w:r>
        <w:rPr>
          <w:rFonts w:ascii="IPAGothic" w:cs="IPAGothic" w:eastAsia="IPAGothic" w:hAnsi="IPAGothic"/>
          <w:b/>
          <w:bCs/>
          <w:color w:val="1F3864"/>
          <w:sz w:val="21"/>
          <w:szCs w:val="21"/>
        </w:rPr>
        <w:t xml:space="preserve">主要な結果: </w:t>
      </w:r>
      <w:r>
        <w:rPr>
          <w:rFonts w:ascii="IPAGothic" w:cs="IPAGothic" w:eastAsia="IPAGothic" w:hAnsi="IPAGothic"/>
          <w:sz w:val="21"/>
          <w:szCs w:val="21"/>
        </w:rPr>
        <w:t xml:space="preserve">①応答（放電後電圧／限界Li塩濃度）ごとに支配因子が明確に分離する。②保存が進むと支配モードが抵抗劣化モードから電解液Li+濃度拡散劣化モードへ遷移する（本検討の核心）。③感度スクリーニングを並行座標へ自動反映し、制約つき2軸コンター（セル抵抗×塗布量）と組み合わせる設計探索アーキテクチャを構築した。</w:t>
      </w:r>
    </w:p>
    <w:p>
      <w:pPr>
        <w:spacing w:after="90" w:line="276"/>
      </w:pPr>
      <w:r>
        <w:rPr>
          <w:rFonts w:ascii="IPAGothic" w:cs="IPAGothic" w:eastAsia="IPAGothic" w:hAnsi="IPAGothic"/>
          <w:b/>
          <w:bCs/>
          <w:color w:val="1F3864"/>
          <w:sz w:val="21"/>
          <w:szCs w:val="21"/>
        </w:rPr>
        <w:t xml:space="preserve">添付テクニカルレポートとの整合: </w:t>
      </w:r>
      <w:r>
        <w:rPr>
          <w:rFonts w:ascii="IPAGothic" w:cs="IPAGothic" w:eastAsia="IPAGothic" w:hAnsi="IPAGothic"/>
          <w:sz w:val="21"/>
          <w:szCs w:val="21"/>
        </w:rPr>
        <w:t xml:space="preserve">理論式の構造（線形抵抗劣化・√t容量劣化・Arrhenius 10℃2倍則・限界Li塩濃度）、限界Li塩濃度の感度順位（塗布量／曲路率が主）、および NCR2170JB Step2 の設計成立範囲（放電後電圧≥2.5V かつ 限界Li塩濃度≤1.4M）を再現した。</w:t>
      </w:r>
    </w:p>
    <w:p>
      <w:pPr>
        <w:pStyle w:val="Heading1"/>
        <w:spacing w:after="110" w:before="220"/>
      </w:pPr>
      <w:r>
        <w:rPr>
          <w:rFonts w:ascii="IPAGothic" w:cs="IPAGothic" w:eastAsia="IPAGothic" w:hAnsi="IPAGothic"/>
        </w:rPr>
        <w:t xml:space="preserve">1. 背景と目的</w:t>
      </w:r>
    </w:p>
    <w:p>
      <w:pPr>
        <w:spacing w:after="90" w:line="276"/>
      </w:pPr>
      <w:r>
        <w:rPr>
          <w:rFonts w:ascii="IPAGothic" w:cs="IPAGothic" w:eastAsia="IPAGothic" w:hAnsi="IPAGothic"/>
          <w:sz w:val="21"/>
          <w:szCs w:val="21"/>
        </w:rPr>
        <w:t xml:space="preserve">生成AI・データセンターの普及に伴い、高出力円筒リチウムイオン電池（2170で200〜300W／〜120s級）の需要が急増している。100W級以上の高出力では保存後の出力劣化が顕著になり、予測との乖離・劣化要因の推定が課題となっている。社内では定W放電領域のOCV線形性と電解液Li+濃度拡散限界に基づく保存劣化-定W放電の理論モデルが構築済みである。</w:t>
      </w:r>
    </w:p>
    <w:p>
      <w:pPr>
        <w:spacing w:after="90" w:line="276"/>
      </w:pPr>
      <w:r>
        <w:rPr>
          <w:rFonts w:ascii="IPAGothic" w:cs="IPAGothic" w:eastAsia="IPAGothic" w:hAnsi="IPAGothic"/>
          <w:sz w:val="21"/>
          <w:szCs w:val="21"/>
        </w:rPr>
        <w:t xml:space="preserve">チームの設計探索（Ansys optiSLang）における主力可視化は、(1) 2軸コンター図（制約線つき OK/NG 把握）と (2) 並行座標プロット（多次元フィルタリング）である。本検討の目的は、これに 第3の柱として感度解析の可視化 を加え、さらに保存劣化理論式を（サロゲート MOP/CoP を経由せず）直接叩いて感度を算出するプロトタイプを構築し、チームへ「動く絵」として提示することにある。</w:t>
      </w:r>
    </w:p>
    <w:p>
      <w:pPr>
        <w:pStyle w:val="Heading1"/>
        <w:spacing w:after="110" w:before="220"/>
      </w:pPr>
      <w:r>
        <w:rPr>
          <w:rFonts w:ascii="IPAGothic" w:cs="IPAGothic" w:eastAsia="IPAGothic" w:hAnsi="IPAGothic"/>
        </w:rPr>
        <w:t xml:space="preserve">2. 対象モデル：DC_v5 保存劣化理論式</w:t>
      </w:r>
    </w:p>
    <w:p>
      <w:pPr>
        <w:spacing w:after="90" w:line="276"/>
      </w:pPr>
      <w:r>
        <w:rPr>
          <w:rFonts w:ascii="IPAGothic" w:cs="IPAGothic" w:eastAsia="IPAGothic" w:hAnsi="IPAGothic"/>
          <w:sz w:val="21"/>
          <w:szCs w:val="21"/>
        </w:rPr>
        <w:t xml:space="preserve">中核は DC_v5 の実式 calc_dc_outputs()（calculators/DC_index/aging/dc_model.py）を無改変で用いる。定W放電の閉形式で放電後電圧と限界Li塩濃度を算出する。</w:t>
      </w:r>
    </w:p>
    <w:p>
      <w:pPr>
        <w:pStyle w:val="Heading2"/>
        <w:spacing w:after="110" w:before="220"/>
      </w:pPr>
      <w:r>
        <w:rPr>
          <w:rFonts w:ascii="IPAGothic" w:cs="IPAGothic" w:eastAsia="IPAGothic" w:hAnsi="IPAGothic"/>
        </w:rPr>
        <w:t xml:space="preserve">2.1 劣化の理論式</w:t>
      </w:r>
    </w:p>
    <w:p>
      <w:pPr>
        <w:pStyle w:val="ListParagraph"/>
        <w:numPr>
          <w:ilvl w:val="0"/>
          <w:numId w:val="1"/>
        </w:numPr>
        <w:spacing w:after="60" w:line="270"/>
      </w:pPr>
      <w:r>
        <w:rPr>
          <w:rFonts w:ascii="IPAGothic" w:cs="IPAGothic" w:eastAsia="IPAGothic" w:hAnsi="IPAGothic"/>
          <w:sz w:val="21"/>
          <w:szCs w:val="21"/>
        </w:rPr>
        <w:t xml:space="preserve">抵抗劣化（線形）: R(t) = R0 + r(T)·t  … 保存中の抵抗上昇は√より線形（レポート§4で実証）</w:t>
      </w:r>
    </w:p>
    <w:p>
      <w:pPr>
        <w:pStyle w:val="ListParagraph"/>
        <w:numPr>
          <w:ilvl w:val="0"/>
          <w:numId w:val="1"/>
        </w:numPr>
        <w:spacing w:after="60" w:line="270"/>
      </w:pPr>
      <w:r>
        <w:rPr>
          <w:rFonts w:ascii="IPAGothic" w:cs="IPAGothic" w:eastAsia="IPAGothic" w:hAnsi="IPAGothic"/>
          <w:sz w:val="21"/>
          <w:szCs w:val="21"/>
        </w:rPr>
        <w:t xml:space="preserve">容量劣化（√t）: a(t) = a0 + k(T)·√t  … 0.05C保存復帰率が√t・Arrheniusにのる（§3）</w:t>
      </w:r>
    </w:p>
    <w:p>
      <w:pPr>
        <w:pStyle w:val="ListParagraph"/>
        <w:numPr>
          <w:ilvl w:val="0"/>
          <w:numId w:val="1"/>
        </w:numPr>
        <w:spacing w:after="60" w:line="270"/>
      </w:pPr>
      <w:r>
        <w:rPr>
          <w:rFonts w:ascii="IPAGothic" w:cs="IPAGothic" w:eastAsia="IPAGothic" w:hAnsi="IPAGothic"/>
          <w:sz w:val="21"/>
          <w:szCs w:val="21"/>
        </w:rPr>
        <w:t xml:space="preserve">放電後電圧: y_end = b' + √(b'² − z·R − z·a·t/3600)  （z=放電電力, b'=b_ocv/2）</w:t>
      </w:r>
    </w:p>
    <w:p>
      <w:pPr>
        <w:pStyle w:val="ListParagraph"/>
        <w:numPr>
          <w:ilvl w:val="0"/>
          <w:numId w:val="1"/>
        </w:numPr>
        <w:spacing w:after="60" w:line="270"/>
      </w:pPr>
      <w:r>
        <w:rPr>
          <w:rFonts w:ascii="IPAGothic" w:cs="IPAGothic" w:eastAsia="IPAGothic" w:hAnsi="IPAGothic"/>
          <w:sz w:val="21"/>
          <w:szCs w:val="21"/>
        </w:rPr>
        <w:t xml:space="preserve">限界Li塩濃度: Cli = C_rate·Qareal /(Jlim·1000),  Jlim = 2zF·Dely·ε^γ / L （拡散限界指標）</w:t>
      </w:r>
    </w:p>
    <w:p>
      <w:pPr>
        <w:pStyle w:val="ListParagraph"/>
        <w:numPr>
          <w:ilvl w:val="0"/>
          <w:numId w:val="1"/>
        </w:numPr>
        <w:spacing w:after="60" w:line="270"/>
      </w:pPr>
      <w:r>
        <w:rPr>
          <w:rFonts w:ascii="IPAGothic" w:cs="IPAGothic" w:eastAsia="IPAGothic" w:hAnsi="IPAGothic"/>
          <w:sz w:val="21"/>
          <w:szCs w:val="21"/>
        </w:rPr>
        <w:t xml:space="preserve">劣化速度係数 k, r は使用温度 T の Arrhenius（10℃2倍則, Ea≈60 kJ/mol）で温度加速</w:t>
      </w:r>
    </w:p>
    <w:p>
      <w:pPr>
        <w:pStyle w:val="Heading2"/>
        <w:spacing w:after="110" w:before="220"/>
      </w:pPr>
      <w:r>
        <w:rPr>
          <w:rFonts w:ascii="IPAGothic" w:cs="IPAGothic" w:eastAsia="IPAGothic" w:hAnsi="IPAGothic"/>
        </w:rPr>
        <w:t xml:space="preserve">2.2 独立上流変数（DOEを張る対象）</w:t>
      </w:r>
    </w:p>
    <w:p>
      <w:pPr>
        <w:spacing w:after="90" w:line="276"/>
      </w:pPr>
      <w:r>
        <w:rPr>
          <w:rFonts w:ascii="IPAGothic" w:cs="IPAGothic" w:eastAsia="IPAGothic" w:hAnsi="IPAGothic"/>
          <w:sz w:val="21"/>
          <w:szCs w:val="21"/>
        </w:rPr>
        <w:t xml:space="preserve">Sobol分解の前提（入力独立）を満たすため、DOEは真に独立な上流変数のみに張り、派生量（塗布量K・空隙率ε・厚みL・面積容量・セル容量Typ・a0）は評価関数の内部（cell_design.py）で計算する。変数群は報告書 NCR2170JB Step2 の探索6因子＋使用温度に整合させた。</w:t>
      </w:r>
    </w:p>
    <w:tbl>
      <w:tblPr>
        <w:tblW w:type="dxa" w:w="8600"/>
        <w:tblBorders>
          <w:top w:val="single" w:color="AAAAAA" w:sz="4"/>
          <w:left w:val="single" w:color="AAAAAA" w:sz="4"/>
          <w:bottom w:val="single" w:color="AAAAAA" w:sz="4"/>
          <w:right w:val="single" w:color="AAAAAA" w:sz="4"/>
          <w:insideH w:val="single" w:color="AAAAAA" w:sz="4"/>
          <w:insideV w:val="single" w:color="AAAAAA" w:sz="4"/>
        </w:tblBorders>
      </w:tblPr>
      <w:tblGrid>
        <w:gridCol w:w="1700"/>
        <w:gridCol w:w="1500"/>
        <w:gridCol w:w="1400"/>
        <w:gridCol w:w="4000"/>
      </w:tblGrid>
      <w:tr>
        <w:trPr>
          <w:tblHeader/>
        </w:trPr>
        <w:tc>
          <w:tcPr>
            <w:tcW w:type="dxa" w:w="17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変数</w:t>
            </w:r>
          </w:p>
        </w:tc>
        <w:tc>
          <w:tcPr>
            <w:tcW w:type="dxa" w:w="15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分類</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設計範囲</w:t>
            </w:r>
          </w:p>
        </w:tc>
        <w:tc>
          <w:tcPr>
            <w:tcW w:type="dxa" w:w="40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意味・役割</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セル抵抗 R0</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設計因子</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3〜8 mΩ</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初期抵抗。放電後電圧を強く支配</w:t>
            </w:r>
          </w:p>
        </w:tc>
      </w:tr>
      <w:tr>
        <w:trPr>
          <w:tblHeader w:val="false"/>
        </w:trPr>
        <w:tc>
          <w:tcPr>
            <w:tcW w:type="dxa" w:w="1700"/>
            <w:shd w:fill="FFFFFF" w:color="auto" w:val="clear"/>
            <w:tcMar>
              <w:top w:type="dxa" w:w="40"/>
              <w:left w:type="dxa" w:w="90"/>
              <w:bottom w:type="dxa" w:w="40"/>
              <w:right w:type="dxa" w:w="90"/>
            </w:tcMar>
          </w:tcPr>
          <w:p>
            <w:r>
              <w:rPr>
                <w:rFonts w:ascii="IPAGothic" w:cs="IPAGothic" w:eastAsia="IPAGothic" w:hAnsi="IPAGothic"/>
                <w:sz w:val="19"/>
                <w:szCs w:val="19"/>
              </w:rPr>
              <w:t xml:space="preserve">正極塗布量</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設計因子</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6〜13 mg/cm²</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K・厚みL・容量に波及。両応答に効く</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正極利用率</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材料物性</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0.190〜0.215 Ah/g</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活物質比容量。容量・a0に波及</w:t>
            </w:r>
          </w:p>
        </w:tc>
      </w:tr>
      <w:tr>
        <w:trPr>
          <w:tblHeader w:val="false"/>
        </w:trPr>
        <w:tc>
          <w:tcPr>
            <w:tcW w:type="dxa" w:w="1700"/>
            <w:shd w:fill="FFFFFF" w:color="auto" w:val="clear"/>
            <w:tcMar>
              <w:top w:type="dxa" w:w="40"/>
              <w:left w:type="dxa" w:w="90"/>
              <w:bottom w:type="dxa" w:w="40"/>
              <w:right w:type="dxa" w:w="90"/>
            </w:tcMar>
          </w:tcPr>
          <w:p>
            <w:r>
              <w:rPr>
                <w:rFonts w:ascii="IPAGothic" w:cs="IPAGothic" w:eastAsia="IPAGothic" w:hAnsi="IPAGothic"/>
                <w:sz w:val="19"/>
                <w:szCs w:val="19"/>
              </w:rPr>
              <w:t xml:space="preserve">活物質密度</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設計因子</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3.2〜3.7 g/cm³</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空隙率ε・厚みLに波及（拡散に効く）</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電解液拡散係数</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材料物性</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3.2〜4.8e-10 m²/s</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拡散限界 Jlim を規定</w:t>
            </w:r>
          </w:p>
        </w:tc>
      </w:tr>
      <w:tr>
        <w:trPr>
          <w:tblHeader w:val="false"/>
        </w:trPr>
        <w:tc>
          <w:tcPr>
            <w:tcW w:type="dxa" w:w="1700"/>
            <w:shd w:fill="FFFFFF" w:color="auto" w:val="clear"/>
            <w:tcMar>
              <w:top w:type="dxa" w:w="40"/>
              <w:left w:type="dxa" w:w="90"/>
              <w:bottom w:type="dxa" w:w="40"/>
              <w:right w:type="dxa" w:w="90"/>
            </w:tcMar>
          </w:tcPr>
          <w:p>
            <w:r>
              <w:rPr>
                <w:rFonts w:ascii="IPAGothic" w:cs="IPAGothic" w:eastAsia="IPAGothic" w:hAnsi="IPAGothic"/>
                <w:sz w:val="19"/>
                <w:szCs w:val="19"/>
              </w:rPr>
              <w:t xml:space="preserve">正極曲路率 γ</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材料物性</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1.4〜2.0</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実効拡散 D_eff=Dely·ε^γ を規定</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使用温度</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使用条件</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25〜50 ℃</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Arrhenius で劣化速度を加速</w:t>
            </w:r>
          </w:p>
        </w:tc>
      </w:tr>
    </w:tbl>
    <w:p>
      <w:pPr>
        <w:spacing w:after="90" w:line="276"/>
      </w:pPr>
      <w:r>
        <w:rPr>
          <w:rFonts w:ascii="IPAGothic" w:cs="IPAGothic" w:eastAsia="IPAGothic" w:hAnsi="IPAGothic"/>
          <w:b/>
          <w:bCs/>
          <w:sz w:val="19"/>
          <w:szCs w:val="19"/>
        </w:rPr>
        <w:t xml:space="preserve">注（B-4②）: </w:t>
      </w:r>
      <w:r>
        <w:rPr>
          <w:rFonts w:ascii="IPAGothic" w:cs="IPAGothic" w:eastAsia="IPAGothic" w:hAnsi="IPAGothic"/>
          <w:color w:val="595959"/>
          <w:sz w:val="19"/>
          <w:szCs w:val="19"/>
        </w:rPr>
        <w:t xml:space="preserve">派生量そのものの寄与を見る場合は Shapley effects 等が必要であり本スコープ外。派生量を独立にサンプリングすると物理的にありえない組合せを踏み、Sobol分解の解釈が破綻するため避けている。</w:t>
      </w:r>
    </w:p>
    <w:p>
      <w:pPr>
        <w:pStyle w:val="Heading1"/>
        <w:spacing w:after="110" w:before="220"/>
      </w:pPr>
      <w:r>
        <w:rPr>
          <w:rFonts w:ascii="IPAGothic" w:cs="IPAGothic" w:eastAsia="IPAGothic" w:hAnsi="IPAGothic"/>
        </w:rPr>
        <w:t xml:space="preserve">3. 理論モデルのレビュー（添付レポートとの整合性）</w:t>
      </w:r>
    </w:p>
    <w:p>
      <w:pPr>
        <w:spacing w:after="90" w:line="276"/>
      </w:pPr>
      <w:r>
        <w:rPr>
          <w:rFonts w:ascii="IPAGothic" w:cs="IPAGothic" w:eastAsia="IPAGothic" w:hAnsi="IPAGothic"/>
          <w:sz w:val="21"/>
          <w:szCs w:val="21"/>
        </w:rPr>
        <w:t xml:space="preserve">添付の社内テクニカルレポート（保存後出力劣化-理論とDC向け18機種／DC設計適用／NCR2170JB Step2）に照らし、実装モデルの妥当性を確認した。主要な整合点を下表に示す。</w:t>
      </w:r>
    </w:p>
    <w:tbl>
      <w:tblPr>
        <w:tblW w:type="dxa" w:w="9200"/>
        <w:tblBorders>
          <w:top w:val="single" w:color="AAAAAA" w:sz="4"/>
          <w:left w:val="single" w:color="AAAAAA" w:sz="4"/>
          <w:bottom w:val="single" w:color="AAAAAA" w:sz="4"/>
          <w:right w:val="single" w:color="AAAAAA" w:sz="4"/>
          <w:insideH w:val="single" w:color="AAAAAA" w:sz="4"/>
          <w:insideV w:val="single" w:color="AAAAAA" w:sz="4"/>
        </w:tblBorders>
      </w:tblPr>
      <w:tblGrid>
        <w:gridCol w:w="3400"/>
        <w:gridCol w:w="3600"/>
        <w:gridCol w:w="2200"/>
      </w:tblGrid>
      <w:tr>
        <w:trPr>
          <w:tblHeader/>
        </w:trPr>
        <w:tc>
          <w:tcPr>
            <w:tcW w:type="dxa" w:w="34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レポートの記述</w:t>
            </w:r>
          </w:p>
        </w:tc>
        <w:tc>
          <w:tcPr>
            <w:tcW w:type="dxa" w:w="36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実装での対応</w:t>
            </w:r>
          </w:p>
        </w:tc>
        <w:tc>
          <w:tcPr>
            <w:tcW w:type="dxa" w:w="22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判定</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保存中の抵抗上昇は√より線形（+1mΩ/年想定）</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R(t)=R0+r·t（線形）を採用</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容量復帰率は√t・Arrheniusプロット（10℃2倍則）</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a(t)=a0+k·√t、kをArrhenius(Ea≈60kJ/mol)</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定W放電の放電後電圧一般式</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y_end=b'+√(b'²−zR−zat/3600)</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限界Li塩濃度（無次元C-rate→拡散限界）</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Cli=C_rate·Qareal/(Jlim·1000)</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抵抗上昇で限界Li塩濃度が上昇（S18/S35）</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R(t)↑→C_rate↑→Cli(t)↑ を再現</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限界Li塩濃度の影響順位: 塗布量&gt;曲路率&gt;拡散係数（S28）</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Cli感度ST: 曲路率0.56/塗布量0.33/密度0.26</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整合（順位再現）</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設計成立: 放電後電圧≥2.5V かつ 限界Li塩濃度≤1.4M（Step2）</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同一制約でOK/NG・コンター定義</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300Wは非常に厳しい（容量・発熱）</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高温・高塗布量で300W維持不可を無効化</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bl>
    <w:p>
      <w:pPr>
        <w:pStyle w:val="Heading2"/>
        <w:spacing w:after="110" w:before="220"/>
      </w:pPr>
      <w:r>
        <w:rPr>
          <w:rFonts w:ascii="IPAGothic" w:cs="IPAGothic" w:eastAsia="IPAGothic" w:hAnsi="IPAGothic"/>
        </w:rPr>
        <w:t xml:space="preserve">3.1 レビューで反映した改善</w:t>
      </w:r>
    </w:p>
    <w:p>
      <w:pPr>
        <w:pStyle w:val="ListParagraph"/>
        <w:numPr>
          <w:ilvl w:val="0"/>
          <w:numId w:val="1"/>
        </w:numPr>
        <w:spacing w:after="60" w:line="270"/>
      </w:pPr>
      <w:r>
        <w:rPr>
          <w:rFonts w:ascii="IPAGothic" w:cs="IPAGothic" w:eastAsia="IPAGothic" w:hAnsi="IPAGothic"/>
          <w:sz w:val="21"/>
          <w:szCs w:val="21"/>
        </w:rPr>
        <w:t xml:space="preserve">放電開始電圧を物理値 b'=b_ocv/2=2.0V に修正 → 放電後電圧が物理域2.5〜4Vに（レポートの放電後電圧域と一致）</w:t>
      </w:r>
    </w:p>
    <w:p>
      <w:pPr>
        <w:pStyle w:val="ListParagraph"/>
        <w:numPr>
          <w:ilvl w:val="0"/>
          <w:numId w:val="1"/>
        </w:numPr>
        <w:spacing w:after="60" w:line="270"/>
      </w:pPr>
      <w:r>
        <w:rPr>
          <w:rFonts w:ascii="IPAGothic" w:cs="IPAGothic" w:eastAsia="IPAGothic" w:hAnsi="IPAGothic"/>
          <w:sz w:val="21"/>
          <w:szCs w:val="21"/>
        </w:rPr>
        <w:t xml:space="preserve">主応答を「放電後電圧」「限界Li塩濃度」に再定義（＝レポートの設計成立条件そのもの）</w:t>
      </w:r>
    </w:p>
    <w:p>
      <w:pPr>
        <w:pStyle w:val="ListParagraph"/>
        <w:numPr>
          <w:ilvl w:val="0"/>
          <w:numId w:val="1"/>
        </w:numPr>
        <w:spacing w:after="60" w:line="270"/>
      </w:pPr>
      <w:r>
        <w:rPr>
          <w:rFonts w:ascii="IPAGothic" w:cs="IPAGothic" w:eastAsia="IPAGothic" w:hAnsi="IPAGothic"/>
          <w:sz w:val="21"/>
          <w:szCs w:val="21"/>
        </w:rPr>
        <w:t xml:space="preserve">独立変数をレポート6設計因子＋使用温度に整合。制約つきコンターを セル抵抗×塗布量 に</w:t>
      </w:r>
    </w:p>
    <w:p>
      <w:pPr>
        <w:pStyle w:val="ListParagraph"/>
        <w:numPr>
          <w:ilvl w:val="0"/>
          <w:numId w:val="1"/>
        </w:numPr>
        <w:spacing w:after="60" w:line="270"/>
      </w:pPr>
      <w:r>
        <w:rPr>
          <w:rFonts w:ascii="IPAGothic" w:cs="IPAGothic" w:eastAsia="IPAGothic" w:hAnsi="IPAGothic"/>
          <w:sz w:val="21"/>
          <w:szCs w:val="21"/>
        </w:rPr>
        <w:t xml:space="preserve">2劣化モード（抵抗劣化⇄拡散劣化）を無次元指標 Cli/C_Li_design で判定・可視化</w:t>
      </w:r>
    </w:p>
    <w:p>
      <w:pPr>
        <w:pStyle w:val="Heading1"/>
        <w:spacing w:after="110" w:before="220"/>
      </w:pPr>
      <w:r>
        <w:rPr>
          <w:rFonts w:ascii="IPAGothic" w:cs="IPAGothic" w:eastAsia="IPAGothic" w:hAnsi="IPAGothic"/>
        </w:rPr>
        <w:t xml:space="preserve">4. 感度解析の方法</w:t>
      </w:r>
    </w:p>
    <w:p>
      <w:pPr>
        <w:spacing w:after="90" w:line="276"/>
      </w:pPr>
      <w:r>
        <w:rPr>
          <w:rFonts w:ascii="IPAGothic" w:cs="IPAGothic" w:eastAsia="IPAGothic" w:hAnsi="IPAGothic"/>
          <w:sz w:val="21"/>
          <w:szCs w:val="21"/>
        </w:rPr>
        <w:t xml:space="preserve">SALib の Saltelli サンプリング＋Sobol解析により、一次感度 S1 と総合効果 ST を算出する。理論式は評価が安価なため、サロゲート（MOP/CoP）を経由せず直接モンテカルロで叩く。これにより代理モデルの近似誤差が指標に混入せず、「サロゲート誤差か物理か」の切り分け問題も消える。</w:t>
      </w:r>
    </w:p>
    <w:p>
      <w:pPr>
        <w:spacing w:after="90" w:line="276"/>
      </w:pPr>
      <w:r>
        <w:rPr>
          <w:rFonts w:ascii="IPAGothic" w:cs="IPAGothic" w:eastAsia="IPAGothic" w:hAnsi="IPAGothic"/>
          <w:b/>
          <w:bCs/>
          <w:color w:val="1F3864"/>
          <w:sz w:val="21"/>
          <w:szCs w:val="21"/>
        </w:rPr>
        <w:t xml:space="preserve">実装した4要件: </w:t>
      </w:r>
    </w:p>
    <w:p>
      <w:pPr>
        <w:pStyle w:val="ListParagraph"/>
        <w:numPr>
          <w:ilvl w:val="0"/>
          <w:numId w:val="1"/>
        </w:numPr>
        <w:spacing w:after="60" w:line="270"/>
      </w:pPr>
      <w:r>
        <w:rPr>
          <w:rFonts w:ascii="IPAGothic" w:cs="IPAGothic" w:eastAsia="IPAGothic" w:hAnsi="IPAGothic"/>
          <w:sz w:val="21"/>
          <w:szCs w:val="21"/>
        </w:rPr>
        <w:t xml:space="preserve">① 入力分布モード切替: design（設定上下限の一様分布／設計探索用） と variation（実工程3σの正規分布／ばらつきリスク評価用）。どちらのモードで出した指標かを図に明記。</w:t>
      </w:r>
    </w:p>
    <w:p>
      <w:pPr>
        <w:pStyle w:val="ListParagraph"/>
        <w:numPr>
          <w:ilvl w:val="0"/>
          <w:numId w:val="1"/>
        </w:numPr>
        <w:spacing w:after="60" w:line="270"/>
      </w:pPr>
      <w:r>
        <w:rPr>
          <w:rFonts w:ascii="IPAGothic" w:cs="IPAGothic" w:eastAsia="IPAGothic" w:hAnsi="IPAGothic"/>
          <w:sz w:val="21"/>
          <w:szCs w:val="21"/>
        </w:rPr>
        <w:t xml:space="preserve">② 独立性: 独立な上流変数にのみDOEを張り、セル設計計算は評価関数の内部に含める。</w:t>
      </w:r>
    </w:p>
    <w:p>
      <w:pPr>
        <w:pStyle w:val="ListParagraph"/>
        <w:numPr>
          <w:ilvl w:val="0"/>
          <w:numId w:val="1"/>
        </w:numPr>
        <w:spacing w:after="60" w:line="270"/>
      </w:pPr>
      <w:r>
        <w:rPr>
          <w:rFonts w:ascii="IPAGothic" w:cs="IPAGothic" w:eastAsia="IPAGothic" w:hAnsi="IPAGothic"/>
          <w:sz w:val="21"/>
          <w:szCs w:val="21"/>
        </w:rPr>
        <w:t xml:space="preserve">③ 時間依存性: 評価時点を複数指定し、感度指標の時間推移を出力（支配因子の変遷）。</w:t>
      </w:r>
    </w:p>
    <w:p>
      <w:pPr>
        <w:pStyle w:val="ListParagraph"/>
        <w:numPr>
          <w:ilvl w:val="0"/>
          <w:numId w:val="1"/>
        </w:numPr>
        <w:spacing w:after="60" w:line="270"/>
      </w:pPr>
      <w:r>
        <w:rPr>
          <w:rFonts w:ascii="IPAGothic" w:cs="IPAGothic" w:eastAsia="IPAGothic" w:hAnsi="IPAGothic"/>
          <w:sz w:val="21"/>
          <w:szCs w:val="21"/>
        </w:rPr>
        <w:t xml:space="preserve">④ 物理妥当域マスキング: 300W維持不可（判別式負）・温度外挿・非物理値を無効サンプルとして検出し、除外率を記録・警告（本解析では基準5年時点で約24〜28%）。</w:t>
      </w:r>
    </w:p>
    <w:p>
      <w:pPr>
        <w:pStyle w:val="Heading1"/>
        <w:spacing w:after="110" w:before="220"/>
      </w:pPr>
      <w:r>
        <w:rPr>
          <w:rFonts w:ascii="IPAGothic" w:cs="IPAGothic" w:eastAsia="IPAGothic" w:hAnsi="IPAGothic"/>
        </w:rPr>
        <w:t xml:space="preserve">5. 結果</w:t>
      </w:r>
    </w:p>
    <w:p>
      <w:pPr>
        <w:pStyle w:val="Heading2"/>
        <w:spacing w:after="110" w:before="220"/>
      </w:pPr>
      <w:r>
        <w:rPr>
          <w:rFonts w:ascii="IPAGothic" w:cs="IPAGothic" w:eastAsia="IPAGothic" w:hAnsi="IPAGothic"/>
        </w:rPr>
        <w:t xml:space="preserve">5.1 応答ごとに支配因子が異なる</w:t>
      </w:r>
    </w:p>
    <w:p>
      <w:pPr>
        <w:spacing w:after="90" w:line="276"/>
      </w:pPr>
      <w:r>
        <w:rPr>
          <w:rFonts w:ascii="IPAGothic" w:cs="IPAGothic" w:eastAsia="IPAGothic" w:hAnsi="IPAGothic"/>
          <w:sz w:val="21"/>
          <w:szCs w:val="21"/>
        </w:rPr>
        <w:t xml:space="preserve">放電後電圧（抵抗劣化モードの指標）と限界Li塩濃度（拡散劣化モードの指標）では、支配因子が明確に分離する。放電後電圧は 塗布量・セル抵抗・使用温度 が支配し、限界Li塩濃度は 曲路率・塗布量・活物質密度・拡散係数 が支配する。</w:t>
      </w:r>
    </w:p>
    <w:p>
      <w:pPr>
        <w:spacing w:after="40" w:before="100"/>
        <w:jc w:val="center"/>
      </w:pPr>
      <w:r>
        <w:drawing>
          <wp:inline distT="0" distB="0" distL="0" distR="0">
            <wp:extent cx="60007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33718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図1. Sobol感度（2応答×2分布モード）。上=放電後電圧、下=限界Li塩濃度。左=design、右=variation。応答で支配因子が分離し、分布モードでも順位が変わる。</w:t>
      </w:r>
    </w:p>
    <w:tbl>
      <w:tblPr>
        <w:tblW w:type="dxa" w:w="9200"/>
        <w:tblBorders>
          <w:top w:val="single" w:color="AAAAAA" w:sz="4"/>
          <w:left w:val="single" w:color="AAAAAA" w:sz="4"/>
          <w:bottom w:val="single" w:color="AAAAAA" w:sz="4"/>
          <w:right w:val="single" w:color="AAAAAA" w:sz="4"/>
          <w:insideH w:val="single" w:color="AAAAAA" w:sz="4"/>
          <w:insideV w:val="single" w:color="AAAAAA" w:sz="4"/>
        </w:tblBorders>
      </w:tblPr>
      <w:tblGrid>
        <w:gridCol w:w="2600"/>
        <w:gridCol w:w="3400"/>
        <w:gridCol w:w="3200"/>
      </w:tblGrid>
      <w:tr>
        <w:trPr>
          <w:tblHeader/>
        </w:trPr>
        <w:tc>
          <w:tcPr>
            <w:tcW w:type="dxa" w:w="26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応答（モード）</w:t>
            </w:r>
          </w:p>
        </w:tc>
        <w:tc>
          <w:tcPr>
            <w:tcW w:type="dxa" w:w="34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design での ST 上位</w:t>
            </w:r>
          </w:p>
        </w:tc>
        <w:tc>
          <w:tcPr>
            <w:tcW w:type="dxa" w:w="32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variation での ST 上位</w:t>
            </w:r>
          </w:p>
        </w:tc>
      </w:tr>
      <w:tr>
        <w:trPr>
          <w:tblHeader w:val="false"/>
        </w:trPr>
        <w:tc>
          <w:tcPr>
            <w:tcW w:type="dxa" w:w="2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放電後電圧（抵抗劣化）</w:t>
            </w:r>
          </w:p>
        </w:tc>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塗布量0.96 / セル抵抗0.55 / 温度0.40</w:t>
            </w:r>
          </w:p>
        </w:tc>
        <w:tc>
          <w:tcPr>
            <w:tcW w:type="dxa" w:w="32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温度0.71 / 塗布量0.50 / セル抵抗0.37</w:t>
            </w:r>
          </w:p>
        </w:tc>
      </w:tr>
      <w:tr>
        <w:trPr>
          <w:tblHeader w:val="false"/>
        </w:trPr>
        <w:tc>
          <w:tcPr>
            <w:tcW w:type="dxa" w:w="2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限界Li塩濃度（拡散劣化）</w:t>
            </w:r>
          </w:p>
        </w:tc>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曲路率0.56 / 塗布量0.33 / 密度0.26</w:t>
            </w:r>
          </w:p>
        </w:tc>
        <w:tc>
          <w:tcPr>
            <w:tcW w:type="dxa" w:w="32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曲路率0.40 / 密度0.27 / 拡散係数0.24</w:t>
            </w:r>
          </w:p>
        </w:tc>
      </w:tr>
    </w:tbl>
    <w:p>
      <w:pPr>
        <w:spacing w:after="90" w:line="276"/>
      </w:pPr>
      <w:r>
        <w:rPr>
          <w:rFonts w:ascii="IPAGothic" w:cs="IPAGothic" w:eastAsia="IPAGothic" w:hAnsi="IPAGothic"/>
          <w:b/>
          <w:bCs/>
          <w:sz w:val="19"/>
          <w:szCs w:val="19"/>
        </w:rPr>
        <w:t xml:space="preserve">B-4①の含意: </w:t>
      </w:r>
      <w:r>
        <w:rPr>
          <w:rFonts w:ascii="IPAGothic" w:cs="IPAGothic" w:eastAsia="IPAGothic" w:hAnsi="IPAGothic"/>
          <w:color w:val="595959"/>
          <w:sz w:val="19"/>
          <w:szCs w:val="19"/>
        </w:rPr>
        <w:t xml:space="preserve">variation（ばらつき）では使用温度の寄与が跳ね上がる。設計探索（design）で「温度は自分で振らないから効かない」と見えても、ばらつきリスク評価では温度が主役になり得る。Sobol指標は与えた入力分布に完全従属するため、どちらのモードの指標かを常に明記する必要がある。</w:t>
      </w:r>
    </w:p>
    <w:p>
      <w:pPr>
        <w:pStyle w:val="Heading2"/>
        <w:spacing w:after="110" w:before="220"/>
      </w:pPr>
      <w:r>
        <w:rPr>
          <w:rFonts w:ascii="IPAGothic" w:cs="IPAGothic" w:eastAsia="IPAGothic" w:hAnsi="IPAGothic"/>
        </w:rPr>
        <w:t xml:space="preserve">5.2 保存劣化過程での支配因子・支配モードの変遷【核心】</w:t>
      </w:r>
    </w:p>
    <w:p>
      <w:pPr>
        <w:spacing w:after="90" w:line="276"/>
      </w:pPr>
      <w:r>
        <w:rPr>
          <w:rFonts w:ascii="IPAGothic" w:cs="IPAGothic" w:eastAsia="IPAGothic" w:hAnsi="IPAGothic"/>
          <w:sz w:val="21"/>
          <w:szCs w:val="21"/>
        </w:rPr>
        <w:t xml:space="preserve">感度指標の時間推移を見ると、放電後電圧では使用温度・セル抵抗の寄与が保存とともに拡大する（温度加速項の顕在化）。一方、限界Li塩濃度では曲路率・塗布量が一貫して支配する。</w:t>
      </w:r>
    </w:p>
    <w:p>
      <w:pPr>
        <w:spacing w:after="40" w:before="100"/>
        <w:jc w:val="center"/>
      </w:pPr>
      <w:r>
        <w:drawing>
          <wp:inline distT="0" distB="0" distL="0" distR="0">
            <wp:extent cx="60007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23050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図2. 感度指標の時間推移（design）。左=放電後電圧、右=限界Li塩濃度。横軸=保存年、縦軸=ST。</w:t>
      </w:r>
    </w:p>
    <w:p>
      <w:pPr>
        <w:spacing w:after="90" w:line="276"/>
      </w:pPr>
      <w:r>
        <w:rPr>
          <w:rFonts w:ascii="IPAGothic" w:cs="IPAGothic" w:eastAsia="IPAGothic" w:hAnsi="IPAGothic"/>
          <w:sz w:val="21"/>
          <w:szCs w:val="21"/>
        </w:rPr>
        <w:t xml:space="preserve">さらに重要なのは、支配「モード」自体が保存とともに遷移することである。公称設計では、保存が進むと限界Li塩濃度が設計budget（1.4M）を超え、同時に放電後電圧が2.5Vを割る。すなわち抵抗劣化モードから電解液Li+濃度拡散劣化モードへ、5年近傍で遷移する。母集団で見ると、拡散劣化モードの個体割合は保存とともに増加し（53%→69%）、設計成立率は低下する（39%→16%）。</w:t>
      </w:r>
    </w:p>
    <w:p>
      <w:pPr>
        <w:spacing w:after="40" w:before="100"/>
        <w:jc w:val="center"/>
      </w:pPr>
      <w:r>
        <w:drawing>
          <wp:inline distT="0" distB="0" distL="0" distR="0">
            <wp:extent cx="600075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22193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図3. 支配因子・支配モードの変遷（本検討の核心）。左=公称設計の軌跡（放電後電圧・限界Li塩濃度が5年近傍で閾値を越えモード遷移）。右=母集団の拡散モード割合・成立率・有効率の時間推移。</w:t>
      </w:r>
    </w:p>
    <w:tbl>
      <w:tblPr>
        <w:tblW w:type="dxa" w:w="7900"/>
        <w:tblBorders>
          <w:top w:val="single" w:color="AAAAAA" w:sz="4"/>
          <w:left w:val="single" w:color="AAAAAA" w:sz="4"/>
          <w:bottom w:val="single" w:color="AAAAAA" w:sz="4"/>
          <w:right w:val="single" w:color="AAAAAA" w:sz="4"/>
          <w:insideH w:val="single" w:color="AAAAAA" w:sz="4"/>
          <w:insideV w:val="single" w:color="AAAAAA" w:sz="4"/>
        </w:tblBorders>
      </w:tblPr>
      <w:tblGrid>
        <w:gridCol w:w="1900"/>
        <w:gridCol w:w="1500"/>
        <w:gridCol w:w="1500"/>
        <w:gridCol w:w="1500"/>
        <w:gridCol w:w="1500"/>
      </w:tblGrid>
      <w:tr>
        <w:trPr>
          <w:tblHeader/>
        </w:trPr>
        <w:tc>
          <w:tcPr>
            <w:tcW w:type="dxa" w:w="19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保存年</w:t>
            </w:r>
          </w:p>
        </w:tc>
        <w:tc>
          <w:tcPr>
            <w:tcW w:type="dxa" w:w="15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0.25</w:t>
            </w:r>
          </w:p>
        </w:tc>
        <w:tc>
          <w:tcPr>
            <w:tcW w:type="dxa" w:w="15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1</w:t>
            </w:r>
          </w:p>
        </w:tc>
        <w:tc>
          <w:tcPr>
            <w:tcW w:type="dxa" w:w="15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3</w:t>
            </w:r>
          </w:p>
        </w:tc>
        <w:tc>
          <w:tcPr>
            <w:tcW w:type="dxa" w:w="15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5〜8</w:t>
            </w:r>
          </w:p>
        </w:tc>
      </w:tr>
      <w:tr>
        <w:trPr>
          <w:tblHeader w:val="false"/>
        </w:trPr>
        <w:tc>
          <w:tcPr>
            <w:tcW w:type="dxa" w:w="19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拡散劣化モード割合</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53%</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55%</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59%</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63→69%</w:t>
            </w:r>
          </w:p>
        </w:tc>
      </w:tr>
      <w:tr>
        <w:trPr>
          <w:tblHeader w:val="false"/>
        </w:trPr>
        <w:tc>
          <w:tcPr>
            <w:tcW w:type="dxa" w:w="19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設計成立率</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39%</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36%</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29%</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24→16%</w:t>
            </w:r>
          </w:p>
        </w:tc>
      </w:tr>
      <w:tr>
        <w:trPr>
          <w:tblHeader w:val="false"/>
        </w:trPr>
        <w:tc>
          <w:tcPr>
            <w:tcW w:type="dxa" w:w="19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有効率(300W維持可)</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84%</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84%</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79%</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73→61%</w:t>
            </w:r>
          </w:p>
        </w:tc>
      </w:tr>
    </w:tbl>
    <w:p>
      <w:pPr>
        <w:spacing w:after="90" w:line="276"/>
      </w:pPr>
      <w:r>
        <w:rPr>
          <w:rFonts w:ascii="IPAGothic" w:cs="IPAGothic" w:eastAsia="IPAGothic" w:hAnsi="IPAGothic"/>
          <w:b/>
          <w:bCs/>
          <w:sz w:val="19"/>
          <w:szCs w:val="19"/>
        </w:rPr>
        <w:t xml:space="preserve">設計上の示唆: </w:t>
      </w:r>
      <w:r>
        <w:rPr>
          <w:rFonts w:ascii="IPAGothic" w:cs="IPAGothic" w:eastAsia="IPAGothic" w:hAnsi="IPAGothic"/>
          <w:color w:val="595959"/>
          <w:sz w:val="19"/>
          <w:szCs w:val="19"/>
        </w:rPr>
        <w:t xml:space="preserve">初期に抵抗劣化モードで成立していても、保存で限界Li塩濃度が上昇し拡散劣化モードへ落ちる。したがって「劣化後も限界Li塩濃度を下回る」初期Li塩濃度設計が必要条件であり、そのうえで抵抗上昇を抑えることが高出力寿命の延伸に直結する（レポートの改善方向性と整合）。</w:t>
      </w:r>
    </w:p>
    <w:p>
      <w:pPr>
        <w:pStyle w:val="Heading2"/>
        <w:spacing w:after="110" w:before="220"/>
      </w:pPr>
      <w:r>
        <w:rPr>
          <w:rFonts w:ascii="IPAGothic" w:cs="IPAGothic" w:eastAsia="IPAGothic" w:hAnsi="IPAGothic"/>
        </w:rPr>
        <w:t xml:space="preserve">5.3 交互作用の可視化（第3の柱の本体）</w:t>
      </w:r>
    </w:p>
    <w:p>
      <w:pPr>
        <w:spacing w:after="90" w:line="276"/>
      </w:pPr>
      <w:r>
        <w:rPr>
          <w:rFonts w:ascii="IPAGothic" w:cs="IPAGothic" w:eastAsia="IPAGothic" w:hAnsi="IPAGothic"/>
          <w:sz w:val="21"/>
          <w:szCs w:val="21"/>
        </w:rPr>
        <w:t xml:space="preserve">並行座標は交互作用の表現が構造的に苦手（軸の並び順に依存し、3次以上は事実上見えない）。そこを埋めるのが交互作用ネットワーク図である。ノード径＝ST（総合効果）、エッジ太さ＝2次のSobol指標 S2（2変数の組合せ効果）を表す。</w:t>
      </w:r>
    </w:p>
    <w:p>
      <w:pPr>
        <w:spacing w:after="40" w:before="10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146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図4. 交互作用ネットワーク（design）。左=放電後電圧、右=限界Li塩濃度。ノード色＝因子分類、径＝ST、線＝S2。</w:t>
      </w:r>
    </w:p>
    <w:p>
      <w:pPr>
        <w:pStyle w:val="Heading2"/>
        <w:spacing w:after="110" w:before="220"/>
      </w:pPr>
      <w:r>
        <w:rPr>
          <w:rFonts w:ascii="IPAGothic" w:cs="IPAGothic" w:eastAsia="IPAGothic" w:hAnsi="IPAGothic"/>
        </w:rPr>
        <w:t xml:space="preserve">5.4 領域条件付き感度（並行座標ブラッシング相当）</w:t>
      </w:r>
    </w:p>
    <w:p>
      <w:pPr>
        <w:spacing w:after="90" w:line="276"/>
      </w:pPr>
      <w:r>
        <w:rPr>
          <w:rFonts w:ascii="IPAGothic" w:cs="IPAGothic" w:eastAsia="IPAGothic" w:hAnsi="IPAGothic"/>
          <w:sz w:val="21"/>
          <w:szCs w:val="21"/>
        </w:rPr>
        <w:t xml:space="preserve">全体感度では「効き方が単調か、特定領域だけで変化するか」は答えられない。並行座標で領域を絞って感度を取り直すと初めて見える。拡散劣化モードが出やすい領域（塗布量10〜13・曲路率1.7〜2.0）に絞ると、限界Li塩濃度の支配因子は曲路率から活物質密度へ入れ替わる。部分集合が小さすぎると指標が不安定になるため、最小サンプル数のガード（N&lt;200で警告）を設けている。</w:t>
      </w:r>
    </w:p>
    <w:p>
      <w:pPr>
        <w:spacing w:after="40" w:before="10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図5. 領域条件付き感度（限界Li塩濃度, design）。全域 vs ブラッシング領域で寄与度の順位が変わる。</w:t>
      </w:r>
    </w:p>
    <w:p>
      <w:pPr>
        <w:pStyle w:val="Heading1"/>
        <w:spacing w:after="110" w:before="220"/>
      </w:pPr>
      <w:r>
        <w:rPr>
          <w:rFonts w:ascii="IPAGothic" w:cs="IPAGothic" w:eastAsia="IPAGothic" w:hAnsi="IPAGothic"/>
        </w:rPr>
        <w:t xml:space="preserve">6. 設計探索アーキテクチャ（①②③の統合）</w:t>
      </w:r>
    </w:p>
    <w:p>
      <w:pPr>
        <w:spacing w:after="90" w:line="276"/>
      </w:pPr>
      <w:r>
        <w:rPr>
          <w:rFonts w:ascii="IPAGothic" w:cs="IPAGothic" w:eastAsia="IPAGothic" w:hAnsi="IPAGothic"/>
          <w:sz w:val="21"/>
          <w:szCs w:val="21"/>
        </w:rPr>
        <w:t xml:space="preserve">感度スクリーニング（①）で効く変数を自動抽出して並行座標へ反映し、交互作用ネットワーク（②）で並行座標が苦手な多変数関係を補完し、感度上位2軸で制約つきコンター（③）を描いて局所地形のOK/NGを把握する。成立域が狭い／支配モードが変わる場合は範囲を絞って感度を再計算する（領域条件付き・時点別）フィードバックループを持つ。</w:t>
      </w:r>
    </w:p>
    <w:p>
      <w:pPr>
        <w:spacing w:after="40" w:before="100"/>
        <w:jc w:val="center"/>
      </w:pPr>
      <w:r>
        <w:drawing>
          <wp:inline distT="0" distB="0" distL="0" distR="0">
            <wp:extent cx="6096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04800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図6. 設計探索アーキテクチャ全体像。感度スクリーニング→並行座標＋交互作用ネットワーク→制約つきコンター。</w:t>
      </w:r>
    </w:p>
    <w:p>
      <w:pPr>
        <w:pStyle w:val="Heading2"/>
        <w:spacing w:after="110" w:before="220"/>
      </w:pPr>
      <w:r>
        <w:rPr>
          <w:rFonts w:ascii="IPAGothic" w:cs="IPAGothic" w:eastAsia="IPAGothic" w:hAnsi="IPAGothic"/>
        </w:rPr>
        <w:t xml:space="preserve">6.1 感度スクリーニング → 擬似並行座標（自動反映）</w:t>
      </w:r>
    </w:p>
    <w:p>
      <w:pPr>
        <w:spacing w:after="90" w:line="276"/>
      </w:pPr>
      <w:r>
        <w:rPr>
          <w:rFonts w:ascii="IPAGothic" w:cs="IPAGothic" w:eastAsia="IPAGothic" w:hAnsi="IPAGothic"/>
          <w:sz w:val="21"/>
          <w:szCs w:val="21"/>
        </w:rPr>
        <w:t xml:space="preserve">Sobol の ST 上位を能動軸として自動選択し、並行座標の軸順・強調に反映する（★能動軸を左に集約・強調、非能動軸は淡色）。個体は放電後電圧でカラーリングし、制約成立個体を強調する。これにより「どの軸に注目すべきか」を感度解析が決め、並行座標に橋渡しする。</w:t>
      </w:r>
    </w:p>
    <w:p>
      <w:pPr>
        <w:spacing w:after="40" w:before="100"/>
        <w:jc w:val="center"/>
      </w:pPr>
      <w:r>
        <w:drawing>
          <wp:inline distT="0" distB="0" distL="0" distR="0">
            <wp:extent cx="60007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00750" cy="27527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図7. 擬似並行座標プロット（Python実装）。感度スクリーニングを軸選択へ自動反映。★＝能動軸（ST上位）。</w:t>
      </w:r>
    </w:p>
    <w:p>
      <w:pPr>
        <w:pStyle w:val="Heading2"/>
        <w:spacing w:after="110" w:before="220"/>
      </w:pPr>
      <w:r>
        <w:rPr>
          <w:rFonts w:ascii="IPAGothic" w:cs="IPAGothic" w:eastAsia="IPAGothic" w:hAnsi="IPAGothic"/>
        </w:rPr>
        <w:t xml:space="preserve">6.2 制約つき2軸コンター（局所地形 OK/NG）</w:t>
      </w:r>
    </w:p>
    <w:p>
      <w:pPr>
        <w:spacing w:after="90" w:line="276"/>
      </w:pPr>
      <w:r>
        <w:rPr>
          <w:rFonts w:ascii="IPAGothic" w:cs="IPAGothic" w:eastAsia="IPAGothic" w:hAnsi="IPAGothic"/>
          <w:sz w:val="21"/>
          <w:szCs w:val="21"/>
        </w:rPr>
        <w:t xml:space="preserve">感度上位2軸である セル抵抗×正極塗布量 で局所地形を描く。塗布量上限は限界Li塩濃度1.4Mのラインで、塗布量下限は放電後電圧2.5Vのラインで決まり、セル抵抗が高いほど成立する塗布量帯が狭い。これは報告書 NCR2170JB Step2 の設計探索（塗布量82±3 g/m²・セル抵抗≤5.3mΩで成立）と同形式・同傾向である。</w:t>
      </w:r>
    </w:p>
    <w:p>
      <w:pPr>
        <w:spacing w:after="40" w:before="100"/>
        <w:jc w:val="center"/>
      </w:pPr>
      <w:r>
        <w:drawing>
          <wp:inline distT="0" distB="0" distL="0" distR="0">
            <wp:extent cx="447675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34004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図8. 制約つき2軸コンター（セル抵抗×正極塗布量, 5年後）。赤=放電後電圧下限、白破線=限界Li塩濃度上限、網掛=NG。</w:t>
      </w:r>
    </w:p>
    <w:p>
      <w:pPr>
        <w:pStyle w:val="Heading1"/>
        <w:spacing w:after="110" w:before="220"/>
      </w:pPr>
      <w:r>
        <w:rPr>
          <w:rFonts w:ascii="IPAGothic" w:cs="IPAGothic" w:eastAsia="IPAGothic" w:hAnsi="IPAGothic"/>
        </w:rPr>
        <w:t xml:space="preserve">7. 考察・結論・今後</w:t>
      </w:r>
    </w:p>
    <w:p>
      <w:pPr>
        <w:pStyle w:val="ListParagraph"/>
        <w:numPr>
          <w:ilvl w:val="0"/>
          <w:numId w:val="1"/>
        </w:numPr>
        <w:spacing w:after="60" w:line="270"/>
      </w:pPr>
      <w:r>
        <w:rPr>
          <w:rFonts w:ascii="IPAGothic" w:cs="IPAGothic" w:eastAsia="IPAGothic" w:hAnsi="IPAGothic"/>
          <w:b w:val="false"/>
          <w:bCs w:val="false"/>
          <w:sz w:val="21"/>
          <w:szCs w:val="21"/>
        </w:rPr>
        <w:t xml:space="preserve">DC_v5 の保存劣化理論式を直接モンテカルロで叩く Sobol 感度解析を実装し、社内テクニカルレポートと整合することを確認した（理論構造・感度順位・設計成立範囲）。</w:t>
      </w:r>
    </w:p>
    <w:p>
      <w:pPr>
        <w:pStyle w:val="ListParagraph"/>
        <w:numPr>
          <w:ilvl w:val="0"/>
          <w:numId w:val="1"/>
        </w:numPr>
        <w:spacing w:after="60" w:line="270"/>
      </w:pPr>
      <w:r>
        <w:rPr>
          <w:rFonts w:ascii="IPAGothic" w:cs="IPAGothic" w:eastAsia="IPAGothic" w:hAnsi="IPAGothic"/>
          <w:sz w:val="21"/>
          <w:szCs w:val="21"/>
        </w:rPr>
        <w:t xml:space="preserve">応答ごとに支配因子が分離し（放電後電圧←抵抗/塗布量/温度、限界Li塩濃度←曲路率/塗布量/拡散）、保存とともに支配モードが抵抗劣化→拡散劣化へ遷移することを定量化・可視化した。</w:t>
      </w:r>
    </w:p>
    <w:p>
      <w:pPr>
        <w:pStyle w:val="ListParagraph"/>
        <w:numPr>
          <w:ilvl w:val="0"/>
          <w:numId w:val="1"/>
        </w:numPr>
        <w:spacing w:after="60" w:line="270"/>
      </w:pPr>
      <w:r>
        <w:rPr>
          <w:rFonts w:ascii="IPAGothic" w:cs="IPAGothic" w:eastAsia="IPAGothic" w:hAnsi="IPAGothic"/>
          <w:sz w:val="21"/>
          <w:szCs w:val="21"/>
        </w:rPr>
        <w:t xml:space="preserve">感度スクリーニングの並行座標への自動反映、交互作用ネットワーク、制約つきコンターを統合した設計探索アーキテクチャを提示した。</w:t>
      </w:r>
    </w:p>
    <w:p>
      <w:pPr>
        <w:spacing w:after="90" w:line="276"/>
      </w:pPr>
      <w:r>
        <w:rPr>
          <w:rFonts w:ascii="IPAGothic" w:cs="IPAGothic" w:eastAsia="IPAGothic" w:hAnsi="IPAGothic"/>
          <w:b/>
          <w:bCs/>
          <w:color w:val="1F3864"/>
          <w:sz w:val="21"/>
          <w:szCs w:val="21"/>
        </w:rPr>
        <w:t xml:space="preserve">今後の発展: </w:t>
      </w:r>
    </w:p>
    <w:p>
      <w:pPr>
        <w:pStyle w:val="ListParagraph"/>
        <w:numPr>
          <w:ilvl w:val="0"/>
          <w:numId w:val="1"/>
        </w:numPr>
        <w:spacing w:after="60" w:line="270"/>
      </w:pPr>
      <w:r>
        <w:rPr>
          <w:rFonts w:ascii="IPAGothic" w:cs="IPAGothic" w:eastAsia="IPAGothic" w:hAnsi="IPAGothic"/>
          <w:sz w:val="21"/>
          <w:szCs w:val="21"/>
        </w:rPr>
        <w:t xml:space="preserve">セル設計計算を DC_v5 CellDesign（run_calc）実体へ接続（現状は物理無矛盾な最小スラブモデル）。</w:t>
      </w:r>
    </w:p>
    <w:p>
      <w:pPr>
        <w:pStyle w:val="ListParagraph"/>
        <w:numPr>
          <w:ilvl w:val="0"/>
          <w:numId w:val="1"/>
        </w:numPr>
        <w:spacing w:after="60" w:line="270"/>
      </w:pPr>
      <w:r>
        <w:rPr>
          <w:rFonts w:ascii="IPAGothic" w:cs="IPAGothic" w:eastAsia="IPAGothic" w:hAnsi="IPAGothic"/>
          <w:sz w:val="21"/>
          <w:szCs w:val="21"/>
        </w:rPr>
        <w:t xml:space="preserve">Li塩消費モデル（保存によるLiPF6消費で初期Li塩濃度が低下）を組み込み、拡散劣化モードへの到達時刻を予測。</w:t>
      </w:r>
    </w:p>
    <w:p>
      <w:pPr>
        <w:pStyle w:val="ListParagraph"/>
        <w:numPr>
          <w:ilvl w:val="0"/>
          <w:numId w:val="1"/>
        </w:numPr>
        <w:spacing w:after="60" w:line="270"/>
      </w:pPr>
      <w:r>
        <w:rPr>
          <w:rFonts w:ascii="IPAGothic" w:cs="IPAGothic" w:eastAsia="IPAGothic" w:hAnsi="IPAGothic"/>
          <w:sz w:val="21"/>
          <w:szCs w:val="21"/>
        </w:rPr>
        <w:t xml:space="preserve">Plotly/Dash によるインタラクティブ版（ブラッシング連動）。現状は擬似＝静的Python図。</w:t>
      </w:r>
    </w:p>
    <w:p>
      <w:pPr>
        <w:pStyle w:val="ListParagraph"/>
        <w:numPr>
          <w:ilvl w:val="0"/>
          <w:numId w:val="1"/>
        </w:numPr>
        <w:spacing w:after="60" w:line="270"/>
      </w:pPr>
      <w:r>
        <w:rPr>
          <w:rFonts w:ascii="IPAGothic" w:cs="IPAGothic" w:eastAsia="IPAGothic" w:hAnsi="IPAGothic"/>
          <w:sz w:val="21"/>
          <w:szCs w:val="21"/>
        </w:rPr>
        <w:t xml:space="preserve">応答経路のバッジ表示（MOP経由 CAE由来応答 と 理論式直接 の混在を明示）。</w:t>
      </w:r>
    </w:p>
    <w:p>
      <w:pPr>
        <w:pStyle w:val="Heading1"/>
        <w:spacing w:after="110" w:before="220"/>
      </w:pPr>
      <w:r>
        <w:rPr>
          <w:rFonts w:ascii="IPAGothic" w:cs="IPAGothic" w:eastAsia="IPAGothic" w:hAnsi="IPAGothic"/>
        </w:rPr>
        <w:t xml:space="preserve">付録A. 実装・再現手順</w:t>
      </w:r>
    </w:p>
    <w:p>
      <w:pPr>
        <w:spacing w:after="90" w:line="276"/>
      </w:pPr>
      <w:r>
        <w:rPr>
          <w:rFonts w:ascii="IPAGothic" w:cs="IPAGothic" w:eastAsia="IPAGothic" w:hAnsi="IPAGothic"/>
          <w:sz w:val="21"/>
          <w:szCs w:val="21"/>
        </w:rPr>
        <w:t xml:space="preserve">乱数シードは全て固定し再現性を担保。図中の文言は日本語。主要モジュールは以下（mf_demo/explorer/）。</w:t>
      </w:r>
    </w:p>
    <w:p>
      <w:pPr>
        <w:pStyle w:val="ListParagraph"/>
        <w:numPr>
          <w:ilvl w:val="0"/>
          <w:numId w:val="1"/>
        </w:numPr>
        <w:spacing w:after="60" w:line="270"/>
      </w:pPr>
      <w:r>
        <w:rPr>
          <w:rFonts w:ascii="IPAGothic" w:cs="IPAGothic" w:eastAsia="IPAGothic" w:hAnsi="IPAGothic"/>
          <w:sz w:val="21"/>
          <w:szCs w:val="21"/>
        </w:rPr>
        <w:t xml:space="preserve">vendor_dcv5/dc_model.py … DC_v5 実式を無改変で取り込み（劣化式は実物）</w:t>
      </w:r>
    </w:p>
    <w:p>
      <w:pPr>
        <w:pStyle w:val="ListParagraph"/>
        <w:numPr>
          <w:ilvl w:val="0"/>
          <w:numId w:val="1"/>
        </w:numPr>
        <w:spacing w:after="60" w:line="270"/>
      </w:pPr>
      <w:r>
        <w:rPr>
          <w:rFonts w:ascii="IPAGothic" w:cs="IPAGothic" w:eastAsia="IPAGothic" w:hAnsi="IPAGothic"/>
          <w:sz w:val="21"/>
          <w:szCs w:val="21"/>
        </w:rPr>
        <w:t xml:space="preserve">cell_design.py … 独立上流変数→派生量（B-4②）</w:t>
      </w:r>
    </w:p>
    <w:p>
      <w:pPr>
        <w:pStyle w:val="ListParagraph"/>
        <w:numPr>
          <w:ilvl w:val="0"/>
          <w:numId w:val="1"/>
        </w:numPr>
        <w:spacing w:after="60" w:line="270"/>
      </w:pPr>
      <w:r>
        <w:rPr>
          <w:rFonts w:ascii="IPAGothic" w:cs="IPAGothic" w:eastAsia="IPAGothic" w:hAnsi="IPAGothic"/>
          <w:sz w:val="21"/>
          <w:szCs w:val="21"/>
        </w:rPr>
        <w:t xml:space="preserve">degradation.py … 実式ラッパ（b'=2.0, Arrhenius, 2応答, 2モード）</w:t>
      </w:r>
    </w:p>
    <w:p>
      <w:pPr>
        <w:pStyle w:val="ListParagraph"/>
        <w:numPr>
          <w:ilvl w:val="0"/>
          <w:numId w:val="1"/>
        </w:numPr>
        <w:spacing w:after="60" w:line="270"/>
      </w:pPr>
      <w:r>
        <w:rPr>
          <w:rFonts w:ascii="IPAGothic" w:cs="IPAGothic" w:eastAsia="IPAGothic" w:hAnsi="IPAGothic"/>
          <w:sz w:val="21"/>
          <w:szCs w:val="21"/>
        </w:rPr>
        <w:t xml:space="preserve">config.py / sensitivity.py … 分布モード・時間依存・マスキング</w:t>
      </w:r>
    </w:p>
    <w:p>
      <w:pPr>
        <w:pStyle w:val="ListParagraph"/>
        <w:numPr>
          <w:ilvl w:val="0"/>
          <w:numId w:val="1"/>
        </w:numPr>
        <w:spacing w:after="60" w:line="270"/>
      </w:pPr>
      <w:r>
        <w:rPr>
          <w:rFonts w:ascii="IPAGothic" w:cs="IPAGothic" w:eastAsia="IPAGothic" w:hAnsi="IPAGothic"/>
          <w:sz w:val="21"/>
          <w:szCs w:val="21"/>
        </w:rPr>
        <w:t xml:space="preserve">plots.py / screening.py / viz_explorer.py … 感度図・スクリーニング・並行座標/コンター/アーキテクチャ</w:t>
      </w:r>
    </w:p>
    <w:p>
      <w:pPr>
        <w:spacing w:after="90" w:line="276"/>
      </w:pPr>
      <w:r>
        <w:rPr>
          <w:rFonts w:ascii="IPAGothic" w:cs="IPAGothic" w:eastAsia="IPAGothic" w:hAnsi="IPAGothic"/>
          <w:b/>
          <w:bCs/>
          <w:sz w:val="20"/>
          <w:szCs w:val="20"/>
        </w:rPr>
        <w:t xml:space="preserve">実行: </w:t>
      </w:r>
      <w:r>
        <w:rPr>
          <w:rFonts w:ascii="IPAGothic" w:cs="IPAGothic" w:eastAsia="IPAGothic" w:hAnsi="IPAGothic"/>
          <w:color w:val="595959"/>
          <w:sz w:val="19"/>
          <w:szCs w:val="19"/>
        </w:rPr>
        <w:t xml:space="preserve">python -m mf_demo.explorer.run_sensitivity 256  （感度6図）／  python -m mf_demo.explorer.run_explorer 600  （①②③ 5図）</w:t>
      </w:r>
    </w:p>
    <w:p>
      <w:pPr>
        <w:spacing w:after="90" w:line="276"/>
      </w:pPr>
      <w:r>
        <w:rPr>
          <w:rFonts w:ascii="IPAGothic" w:cs="IPAGothic" w:eastAsia="IPAGothic" w:hAnsi="IPAGothic"/>
          <w:b/>
          <w:bCs/>
          <w:color w:val="B4472C"/>
          <w:sz w:val="19"/>
          <w:szCs w:val="19"/>
        </w:rPr>
        <w:t xml:space="preserve">免責: </w:t>
      </w:r>
      <w:r>
        <w:rPr>
          <w:rFonts w:ascii="IPAGothic" w:cs="IPAGothic" w:eastAsia="IPAGothic" w:hAnsi="IPAGothic"/>
          <w:color w:val="595959"/>
          <w:sz w:val="19"/>
          <w:szCs w:val="19"/>
        </w:rPr>
        <w:t xml:space="preserve">本プロトタイプは原理を絵で伝えることを優先した合成モデルであり、精度較正済みの設計ツールではない。数値は DC_v5 row82 近傍のオーダーに合わせてある。</w:t>
      </w:r>
    </w:p>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PAGothic" w:cs="IPAGothic" w:eastAsia="IPAGothic" w:hAnsi="IPAGothic"/>
        <w:color w:val="595959"/>
        <w:sz w:val="16"/>
        <w:szCs w:val="16"/>
      </w:rPr>
      <w:t xml:space="preserve">DC向けセル 保存劣化 感度解析報告書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PAGothic" w:cs="IPAGothic" w:eastAsia="IPAGothic" w:hAnsi="IPA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IPAGothic" w:cs="IPAGothic" w:eastAsia="IPAGothic" w:hAnsi="IPAGothic"/>
      <w:b/>
      <w:bCs/>
      <w:color w:val="1F3864"/>
      <w:sz w:val="30"/>
      <w:szCs w:val="30"/>
    </w:rPr>
  </w:style>
  <w:style w:type="paragraph" w:styleId="Heading2">
    <w:name w:val="Heading 2"/>
    <w:basedOn w:val="Normal"/>
    <w:next w:val="Normal"/>
    <w:qFormat/>
    <w:pPr>
      <w:spacing w:after="100" w:before="200"/>
      <w:outlineLvl w:val="1"/>
    </w:pPr>
    <w:rPr>
      <w:rFonts w:ascii="IPAGothic" w:cs="IPAGothic" w:eastAsia="IPAGothic" w:hAnsi="IPAGothic"/>
      <w:b/>
      <w:bCs/>
      <w:color w:val="B4472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81f2caf2731d08e79b9b60556b4feb427f729db.png"/><Relationship Id="rId9" Type="http://schemas.openxmlformats.org/officeDocument/2006/relationships/image" Target="media/9b8a67b6fddfe94c7d8c7bae78dded8e2994c8df.png"/><Relationship Id="rId10" Type="http://schemas.openxmlformats.org/officeDocument/2006/relationships/image" Target="media/10468a160bd9881fd9ffb29bdb74a823ecee9666.png"/><Relationship Id="rId11" Type="http://schemas.openxmlformats.org/officeDocument/2006/relationships/image" Target="media/6bd821fce699e5c7cfc7fcc8e991eed96622282b.png"/><Relationship Id="rId12" Type="http://schemas.openxmlformats.org/officeDocument/2006/relationships/image" Target="media/9d2cf39a5a491c3f6eba3611d4b588816cd4b306.png"/><Relationship Id="rId13" Type="http://schemas.openxmlformats.org/officeDocument/2006/relationships/image" Target="media/9ffa1c6cea0b9ca81694f3125fdf69c8024d9c89.png"/><Relationship Id="rId14" Type="http://schemas.openxmlformats.org/officeDocument/2006/relationships/image" Target="media/d3040f88600245e81ef60eb23ca41c96ffa35ef3.png"/><Relationship Id="rId15" Type="http://schemas.openxmlformats.org/officeDocument/2006/relationships/image" Target="media/e92c008a5b41745616eee2464972d3763cda9c0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2026-07-19T02:31:22.454Z</dcterms:created>
  <dcterms:modified xsi:type="dcterms:W3CDTF">2026-07-19T02:31:22.454Z</dcterms:modified>
</cp:coreProperties>
</file>

<file path=docProps/custom.xml><?xml version="1.0" encoding="utf-8"?>
<Properties xmlns="http://schemas.openxmlformats.org/officeDocument/2006/custom-properties" xmlns:vt="http://schemas.openxmlformats.org/officeDocument/2006/docPropsVTypes"/>
</file>