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D46C5F" w:rsidRDefault="00D46C5F" w:rsidP="00174733">
      <w:pPr>
        <w:rPr>
          <w:lang w:val="en-US"/>
        </w:rPr>
      </w:pPr>
      <w:r>
        <w:rPr>
          <w:lang w:val="en-US"/>
        </w:rPr>
        <w:t>1.4.1</w:t>
      </w:r>
      <w:r>
        <w:rPr>
          <w:lang w:val="en-US"/>
        </w:rPr>
        <w:tab/>
        <w:t>Fixed missing description on checkout-page.</w:t>
      </w:r>
      <w:bookmarkStart w:id="0" w:name="_GoBack"/>
      <w:bookmarkEnd w:id="0"/>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46C5F"/>
    <w:rsid w:val="00D636EE"/>
    <w:rsid w:val="00DA025D"/>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1033</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40</cp:revision>
  <dcterms:created xsi:type="dcterms:W3CDTF">2015-08-27T05:46:00Z</dcterms:created>
  <dcterms:modified xsi:type="dcterms:W3CDTF">2015-11-14T22:23:00Z</dcterms:modified>
</cp:coreProperties>
</file>