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F2C" w:rsidRPr="00520544" w:rsidRDefault="00520544">
      <w:pPr>
        <w:rPr>
          <w:rFonts w:cstheme="minorHAnsi"/>
          <w:b/>
        </w:rPr>
      </w:pPr>
      <w:r w:rsidRPr="00520544">
        <w:rPr>
          <w:rFonts w:cstheme="minorHAnsi"/>
          <w:b/>
        </w:rPr>
        <w:t>Einleitung</w:t>
      </w:r>
    </w:p>
    <w:p w:rsidR="00D91C06" w:rsidRDefault="00864D83">
      <w:pPr>
        <w:rPr>
          <w:rFonts w:cstheme="minorHAnsi"/>
        </w:rPr>
      </w:pPr>
      <w:r w:rsidRPr="000C2CCE">
        <w:rPr>
          <w:rFonts w:cstheme="minorHAnsi"/>
        </w:rPr>
        <w:t>Durch die</w:t>
      </w:r>
      <w:r w:rsidR="00121F2C" w:rsidRPr="000C2CCE">
        <w:rPr>
          <w:rFonts w:cstheme="minorHAnsi"/>
        </w:rPr>
        <w:t xml:space="preserve"> Verabschiedung der Richt</w:t>
      </w:r>
      <w:r w:rsidRPr="000C2CCE">
        <w:rPr>
          <w:rFonts w:cstheme="minorHAnsi"/>
        </w:rPr>
        <w:t>linie</w:t>
      </w:r>
      <w:r w:rsidRPr="000C2CCE">
        <w:rPr>
          <w:rFonts w:cstheme="minorHAnsi"/>
        </w:rPr>
        <w:t xml:space="preserve"> 2009/72/EC </w:t>
      </w:r>
      <w:r w:rsidRPr="000C2CCE">
        <w:rPr>
          <w:rFonts w:cstheme="minorHAnsi"/>
        </w:rPr>
        <w:t>[Referenz: Richtlinie</w:t>
      </w:r>
      <w:r w:rsidR="0037591C" w:rsidRPr="000C2CCE">
        <w:rPr>
          <w:rFonts w:cstheme="minorHAnsi"/>
        </w:rPr>
        <w:t>2009</w:t>
      </w:r>
      <w:r w:rsidRPr="000C2CCE">
        <w:rPr>
          <w:rFonts w:cstheme="minorHAnsi"/>
        </w:rPr>
        <w:t>] sind die Mitgliedsstaaten der EU aufgefordert</w:t>
      </w:r>
      <w:r w:rsidR="0007300B">
        <w:rPr>
          <w:rFonts w:cstheme="minorHAnsi"/>
        </w:rPr>
        <w:t>, deren</w:t>
      </w:r>
      <w:r w:rsidRPr="000C2CCE">
        <w:rPr>
          <w:rFonts w:cstheme="minorHAnsi"/>
        </w:rPr>
        <w:t xml:space="preserve"> Inhalte in nationales Recht umzusetzen. </w:t>
      </w:r>
      <w:r w:rsidR="00AE78E9">
        <w:rPr>
          <w:rFonts w:cstheme="minorHAnsi"/>
        </w:rPr>
        <w:t>Thema</w:t>
      </w:r>
      <w:r w:rsidRPr="000C2CCE">
        <w:rPr>
          <w:rFonts w:cstheme="minorHAnsi"/>
        </w:rPr>
        <w:t xml:space="preserve"> dieser Richtlinie ist es</w:t>
      </w:r>
      <w:r w:rsidR="00AE78E9">
        <w:rPr>
          <w:rFonts w:cstheme="minorHAnsi"/>
        </w:rPr>
        <w:t>, die vorhandenen</w:t>
      </w:r>
      <w:r w:rsidRPr="000C2CCE">
        <w:rPr>
          <w:rFonts w:cstheme="minorHAnsi"/>
        </w:rPr>
        <w:t xml:space="preserve"> analogen Stromzähler durch digitale Smart Meter zu ersetzen. Mit der flächendeckenden Installation stehen sowohl </w:t>
      </w:r>
      <w:r w:rsidR="0037591C" w:rsidRPr="000C2CCE">
        <w:rPr>
          <w:rFonts w:cstheme="minorHAnsi"/>
        </w:rPr>
        <w:t>den</w:t>
      </w:r>
      <w:r w:rsidRPr="000C2CCE">
        <w:rPr>
          <w:rFonts w:cstheme="minorHAnsi"/>
        </w:rPr>
        <w:t xml:space="preserve"> Netzbetreiber</w:t>
      </w:r>
      <w:r w:rsidR="0037591C" w:rsidRPr="000C2CCE">
        <w:rPr>
          <w:rFonts w:cstheme="minorHAnsi"/>
        </w:rPr>
        <w:t>n</w:t>
      </w:r>
      <w:r w:rsidRPr="000C2CCE">
        <w:rPr>
          <w:rFonts w:cstheme="minorHAnsi"/>
        </w:rPr>
        <w:t xml:space="preserve"> </w:t>
      </w:r>
      <w:r w:rsidR="0037591C" w:rsidRPr="000C2CCE">
        <w:rPr>
          <w:rFonts w:cstheme="minorHAnsi"/>
        </w:rPr>
        <w:t>als auch den Energieproduzenten und den Verbrauchern Möglichkeiten das Netz optimal zu nützen, Energie zu günstigen Preisen zu erwerben und Energieverschwendung zu verringern. Um diese Vorteile zu nützen</w:t>
      </w:r>
      <w:r w:rsidR="00CF5024">
        <w:rPr>
          <w:rFonts w:cstheme="minorHAnsi"/>
        </w:rPr>
        <w:t>,</w:t>
      </w:r>
      <w:r w:rsidR="0037591C" w:rsidRPr="000C2CCE">
        <w:rPr>
          <w:rFonts w:cstheme="minorHAnsi"/>
        </w:rPr>
        <w:t xml:space="preserve"> ist Kommunikation bezüglich des aktuellen Verbrauchs, der Netzbelastung und der im Netz vorhandenen Energie notwendig. Über Kommunikationsprotokolle tauschen Verteilstationen, </w:t>
      </w:r>
      <w:proofErr w:type="spellStart"/>
      <w:r w:rsidR="00CF5024">
        <w:rPr>
          <w:rFonts w:cstheme="minorHAnsi"/>
        </w:rPr>
        <w:t>Energiee</w:t>
      </w:r>
      <w:r w:rsidR="0037591C" w:rsidRPr="000C2CCE">
        <w:rPr>
          <w:rFonts w:cstheme="minorHAnsi"/>
        </w:rPr>
        <w:t>inspeiser</w:t>
      </w:r>
      <w:proofErr w:type="spellEnd"/>
      <w:r w:rsidR="0037591C" w:rsidRPr="000C2CCE">
        <w:rPr>
          <w:rFonts w:cstheme="minorHAnsi"/>
        </w:rPr>
        <w:t xml:space="preserve"> und Smart Meter beim Endkunden Daten bezüglich des Verbrauchs aus. Der Preis für diese Vorteile ist die notwendige, zumindest teilweise Offenlegung des </w:t>
      </w:r>
      <w:r w:rsidR="000C2CCE">
        <w:rPr>
          <w:rFonts w:cstheme="minorHAnsi"/>
        </w:rPr>
        <w:t>Energieverbrauchs</w:t>
      </w:r>
      <w:r w:rsidR="0037591C" w:rsidRPr="000C2CCE">
        <w:rPr>
          <w:rFonts w:cstheme="minorHAnsi"/>
        </w:rPr>
        <w:t xml:space="preserve"> des</w:t>
      </w:r>
      <w:r w:rsidR="000C2CCE">
        <w:rPr>
          <w:rFonts w:cstheme="minorHAnsi"/>
        </w:rPr>
        <w:t xml:space="preserve"> Endkunden</w:t>
      </w:r>
      <w:r w:rsidR="0037591C" w:rsidRPr="000C2CCE">
        <w:rPr>
          <w:rFonts w:cstheme="minorHAnsi"/>
        </w:rPr>
        <w:t xml:space="preserve">. </w:t>
      </w:r>
    </w:p>
    <w:p w:rsidR="00D91C06" w:rsidRDefault="00D91C06">
      <w:pPr>
        <w:rPr>
          <w:rFonts w:cstheme="minorHAnsi"/>
        </w:rPr>
      </w:pPr>
      <w:r>
        <w:rPr>
          <w:rFonts w:cstheme="minorHAnsi"/>
        </w:rPr>
        <w:t>Im Spannungsfeld von Schutz der Privatsphäre einerseits</w:t>
      </w:r>
      <w:r w:rsidR="00CF5024">
        <w:rPr>
          <w:rFonts w:cstheme="minorHAnsi"/>
        </w:rPr>
        <w:t>,</w:t>
      </w:r>
      <w:r>
        <w:rPr>
          <w:rFonts w:cstheme="minorHAnsi"/>
        </w:rPr>
        <w:t xml:space="preserve"> und </w:t>
      </w:r>
      <w:r w:rsidR="00BB55BD">
        <w:rPr>
          <w:rFonts w:cstheme="minorHAnsi"/>
        </w:rPr>
        <w:t>maschineller</w:t>
      </w:r>
      <w:r w:rsidR="00CF5024">
        <w:rPr>
          <w:rFonts w:cstheme="minorHAnsi"/>
        </w:rPr>
        <w:t xml:space="preserve"> </w:t>
      </w:r>
      <w:r>
        <w:rPr>
          <w:rFonts w:cstheme="minorHAnsi"/>
        </w:rPr>
        <w:t xml:space="preserve">Messdatenauswertung im Rahmen des Erlaubten </w:t>
      </w:r>
      <w:r w:rsidR="00CF5024">
        <w:rPr>
          <w:rFonts w:cstheme="minorHAnsi"/>
        </w:rPr>
        <w:t>andererseits</w:t>
      </w:r>
      <w:r w:rsidR="00CF5024">
        <w:rPr>
          <w:rFonts w:cstheme="minorHAnsi"/>
        </w:rPr>
        <w:t xml:space="preserve"> </w:t>
      </w:r>
      <w:r>
        <w:rPr>
          <w:rFonts w:cstheme="minorHAnsi"/>
        </w:rPr>
        <w:t>sollen die Ergebnisse dieses Projekts für Komfortverbesserung sorgen.</w:t>
      </w:r>
    </w:p>
    <w:p w:rsidR="00236AB6" w:rsidRPr="000C2CCE" w:rsidRDefault="00236AB6">
      <w:pPr>
        <w:rPr>
          <w:rFonts w:cstheme="minorHAnsi"/>
        </w:rPr>
      </w:pPr>
    </w:p>
    <w:p w:rsidR="00864D83" w:rsidRPr="000C2CCE" w:rsidRDefault="00EF42EA">
      <w:pPr>
        <w:rPr>
          <w:rFonts w:cstheme="minorHAnsi"/>
        </w:rPr>
      </w:pPr>
      <w:r w:rsidRPr="00520544">
        <w:rPr>
          <w:rFonts w:cstheme="minorHAnsi"/>
          <w:b/>
        </w:rPr>
        <w:t>Motivation</w:t>
      </w:r>
    </w:p>
    <w:p w:rsidR="00A70B2C" w:rsidRPr="000C2CCE" w:rsidRDefault="00275C08">
      <w:pPr>
        <w:rPr>
          <w:rFonts w:cstheme="minorHAnsi"/>
          <w:lang w:val="en-US"/>
        </w:rPr>
      </w:pPr>
      <w:r w:rsidRPr="000C2CCE">
        <w:rPr>
          <w:rFonts w:cstheme="minorHAnsi"/>
        </w:rPr>
        <w:t xml:space="preserve">Es </w:t>
      </w:r>
      <w:r w:rsidR="0037591C" w:rsidRPr="000C2CCE">
        <w:rPr>
          <w:rFonts w:cstheme="minorHAnsi"/>
        </w:rPr>
        <w:t>existieren unterschiedliche Strukturen</w:t>
      </w:r>
      <w:r w:rsidRPr="000C2CCE">
        <w:rPr>
          <w:rFonts w:cstheme="minorHAnsi"/>
        </w:rPr>
        <w:t xml:space="preserve"> und Protokolle</w:t>
      </w:r>
      <w:r w:rsidR="0037591C" w:rsidRPr="000C2CCE">
        <w:rPr>
          <w:rFonts w:cstheme="minorHAnsi"/>
        </w:rPr>
        <w:t xml:space="preserve"> für die Übertragung und Speicherung vo</w:t>
      </w:r>
      <w:r w:rsidRPr="000C2CCE">
        <w:rPr>
          <w:rFonts w:cstheme="minorHAnsi"/>
        </w:rPr>
        <w:t xml:space="preserve">n Messdatenwerten. </w:t>
      </w:r>
      <w:proofErr w:type="spellStart"/>
      <w:r w:rsidRPr="000C2CCE">
        <w:rPr>
          <w:rFonts w:cstheme="minorHAnsi"/>
          <w:lang w:val="en-US"/>
        </w:rPr>
        <w:t>Beispiele</w:t>
      </w:r>
      <w:proofErr w:type="spellEnd"/>
      <w:r w:rsidRPr="000C2CCE">
        <w:rPr>
          <w:rFonts w:cstheme="minorHAnsi"/>
          <w:lang w:val="en-US"/>
        </w:rPr>
        <w:t xml:space="preserve"> </w:t>
      </w:r>
      <w:proofErr w:type="spellStart"/>
      <w:r w:rsidRPr="000C2CCE">
        <w:rPr>
          <w:rFonts w:cstheme="minorHAnsi"/>
          <w:lang w:val="en-US"/>
        </w:rPr>
        <w:t>dafür</w:t>
      </w:r>
      <w:proofErr w:type="spellEnd"/>
      <w:r w:rsidRPr="000C2CCE">
        <w:rPr>
          <w:rFonts w:cstheme="minorHAnsi"/>
          <w:lang w:val="en-US"/>
        </w:rPr>
        <w:t xml:space="preserve"> </w:t>
      </w:r>
      <w:proofErr w:type="spellStart"/>
      <w:r w:rsidRPr="000C2CCE">
        <w:rPr>
          <w:rFonts w:cstheme="minorHAnsi"/>
          <w:lang w:val="en-US"/>
        </w:rPr>
        <w:t>sind</w:t>
      </w:r>
      <w:proofErr w:type="spellEnd"/>
      <w:r w:rsidRPr="000C2CCE">
        <w:rPr>
          <w:rFonts w:cstheme="minorHAnsi"/>
          <w:lang w:val="en-US"/>
        </w:rPr>
        <w:t xml:space="preserve">: </w:t>
      </w:r>
    </w:p>
    <w:p w:rsidR="000C2CCE" w:rsidRDefault="00A70B2C" w:rsidP="000C2CCE">
      <w:pPr>
        <w:pStyle w:val="Listenabsatz"/>
        <w:numPr>
          <w:ilvl w:val="0"/>
          <w:numId w:val="3"/>
        </w:numPr>
        <w:rPr>
          <w:rFonts w:cstheme="minorHAnsi"/>
        </w:rPr>
      </w:pPr>
      <w:r w:rsidRPr="000C2CCE">
        <w:rPr>
          <w:rFonts w:cstheme="minorHAnsi"/>
        </w:rPr>
        <w:t>DLSM/COSEM</w:t>
      </w:r>
      <w:r w:rsidR="000C2CCE" w:rsidRPr="000C2CCE">
        <w:rPr>
          <w:rFonts w:cstheme="minorHAnsi"/>
        </w:rPr>
        <w:t xml:space="preserve"> [Referenz</w:t>
      </w:r>
      <w:r w:rsidR="00420A0D">
        <w:rPr>
          <w:rFonts w:cstheme="minorHAnsi"/>
        </w:rPr>
        <w:t xml:space="preserve"> COSEM</w:t>
      </w:r>
      <w:r w:rsidR="000C2CCE" w:rsidRPr="000C2CCE">
        <w:rPr>
          <w:rFonts w:cstheme="minorHAnsi"/>
        </w:rPr>
        <w:t>]</w:t>
      </w:r>
    </w:p>
    <w:p w:rsidR="000C2CCE" w:rsidRDefault="000C2CCE" w:rsidP="000C2CCE">
      <w:pPr>
        <w:pStyle w:val="Listenabsatz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SML [Referenz</w:t>
      </w:r>
      <w:r w:rsidR="00420A0D">
        <w:rPr>
          <w:rFonts w:cstheme="minorHAnsi"/>
        </w:rPr>
        <w:t xml:space="preserve"> SML</w:t>
      </w:r>
      <w:r>
        <w:rPr>
          <w:rFonts w:cstheme="minorHAnsi"/>
        </w:rPr>
        <w:t>]</w:t>
      </w:r>
    </w:p>
    <w:p w:rsidR="00275C08" w:rsidRPr="000C2CCE" w:rsidRDefault="00275C08" w:rsidP="000C2CCE">
      <w:pPr>
        <w:pStyle w:val="Listenabsatz"/>
        <w:numPr>
          <w:ilvl w:val="0"/>
          <w:numId w:val="3"/>
        </w:numPr>
        <w:rPr>
          <w:rFonts w:cstheme="minorHAnsi"/>
        </w:rPr>
      </w:pPr>
      <w:r w:rsidRPr="000C2CCE">
        <w:rPr>
          <w:rFonts w:cstheme="minorHAnsi"/>
        </w:rPr>
        <w:t>MMS</w:t>
      </w:r>
      <w:r w:rsidR="00DE3647">
        <w:rPr>
          <w:rFonts w:cstheme="minorHAnsi"/>
        </w:rPr>
        <w:t xml:space="preserve"> </w:t>
      </w:r>
      <w:r w:rsidR="000C2CCE" w:rsidRPr="000C2CCE">
        <w:rPr>
          <w:rFonts w:cstheme="minorHAnsi"/>
        </w:rPr>
        <w:t>und</w:t>
      </w:r>
      <w:r w:rsidRPr="000C2CCE">
        <w:rPr>
          <w:rFonts w:cstheme="minorHAnsi"/>
        </w:rPr>
        <w:t xml:space="preserve"> SOAP </w:t>
      </w:r>
      <w:r w:rsidR="000C2CCE" w:rsidRPr="000C2CCE">
        <w:rPr>
          <w:rFonts w:cstheme="minorHAnsi"/>
        </w:rPr>
        <w:t xml:space="preserve">Abbildungen der </w:t>
      </w:r>
      <w:r w:rsidR="009537D1">
        <w:rPr>
          <w:rFonts w:cstheme="minorHAnsi"/>
        </w:rPr>
        <w:t xml:space="preserve">IEC </w:t>
      </w:r>
      <w:r w:rsidRPr="000C2CCE">
        <w:rPr>
          <w:rFonts w:cstheme="minorHAnsi"/>
        </w:rPr>
        <w:t>61850</w:t>
      </w:r>
      <w:r w:rsidRPr="000C2CCE">
        <w:rPr>
          <w:rFonts w:cstheme="minorHAnsi"/>
        </w:rPr>
        <w:t xml:space="preserve"> </w:t>
      </w:r>
      <w:r w:rsidR="000C2CCE">
        <w:rPr>
          <w:rFonts w:cstheme="minorHAnsi"/>
        </w:rPr>
        <w:t>[Referenz]</w:t>
      </w:r>
    </w:p>
    <w:p w:rsidR="00D02B77" w:rsidRDefault="000C2CCE" w:rsidP="000C2CCE">
      <w:pPr>
        <w:rPr>
          <w:rFonts w:cstheme="minorHAnsi"/>
        </w:rPr>
      </w:pPr>
      <w:r>
        <w:rPr>
          <w:rFonts w:cstheme="minorHAnsi"/>
        </w:rPr>
        <w:t xml:space="preserve">Weitere </w:t>
      </w:r>
      <w:r w:rsidR="00275C08" w:rsidRPr="000C2CCE">
        <w:rPr>
          <w:rFonts w:cstheme="minorHAnsi"/>
        </w:rPr>
        <w:t>Unterschiede bestehen in der Granu</w:t>
      </w:r>
      <w:r>
        <w:rPr>
          <w:rFonts w:cstheme="minorHAnsi"/>
        </w:rPr>
        <w:t xml:space="preserve">larität der Daten, die </w:t>
      </w:r>
      <w:r w:rsidR="00275C08" w:rsidRPr="000C2CCE">
        <w:rPr>
          <w:rFonts w:cstheme="minorHAnsi"/>
        </w:rPr>
        <w:t xml:space="preserve">Smart Meter </w:t>
      </w:r>
      <w:r>
        <w:rPr>
          <w:rFonts w:cstheme="minorHAnsi"/>
        </w:rPr>
        <w:t xml:space="preserve">Modelle </w:t>
      </w:r>
      <w:r w:rsidR="00275C08" w:rsidRPr="000C2CCE">
        <w:rPr>
          <w:rFonts w:cstheme="minorHAnsi"/>
        </w:rPr>
        <w:t>zur Verfügung stellen, ebenso die Frequenz</w:t>
      </w:r>
      <w:r w:rsidR="00CF5024">
        <w:rPr>
          <w:rFonts w:cstheme="minorHAnsi"/>
        </w:rPr>
        <w:t>,</w:t>
      </w:r>
      <w:r w:rsidR="00275C08" w:rsidRPr="000C2CCE">
        <w:rPr>
          <w:rFonts w:cstheme="minorHAnsi"/>
        </w:rPr>
        <w:t xml:space="preserve"> mit der Werte ausgelesen werden können</w:t>
      </w:r>
      <w:r w:rsidR="00CF5024">
        <w:rPr>
          <w:rFonts w:cstheme="minorHAnsi"/>
        </w:rPr>
        <w:t>,</w:t>
      </w:r>
      <w:r w:rsidR="00275C08" w:rsidRPr="000C2CCE">
        <w:rPr>
          <w:rFonts w:cstheme="minorHAnsi"/>
        </w:rPr>
        <w:t xml:space="preserve"> ist unterschiedlich [da fehlt eine Referenz]. </w:t>
      </w:r>
      <w:r w:rsidR="00D02B77">
        <w:rPr>
          <w:rFonts w:cstheme="minorHAnsi"/>
        </w:rPr>
        <w:t>All diese Unterschiede erschweren eine vergleichende Auswertung von Messdaten aus unterschiedlichen Quellen.</w:t>
      </w:r>
    </w:p>
    <w:p w:rsidR="000C2CCE" w:rsidRDefault="00275C08" w:rsidP="000C2CCE">
      <w:pPr>
        <w:rPr>
          <w:rFonts w:cstheme="minorHAnsi"/>
        </w:rPr>
      </w:pPr>
      <w:r w:rsidRPr="000C2CCE">
        <w:rPr>
          <w:rFonts w:cstheme="minorHAnsi"/>
        </w:rPr>
        <w:t>Dieses Projekt verfolgt vier</w:t>
      </w:r>
      <w:r w:rsidR="000C2CCE">
        <w:rPr>
          <w:rFonts w:cstheme="minorHAnsi"/>
        </w:rPr>
        <w:t xml:space="preserve"> Hauptziele:</w:t>
      </w:r>
    </w:p>
    <w:p w:rsidR="000C2CCE" w:rsidRDefault="00275C08" w:rsidP="000C2CCE">
      <w:pPr>
        <w:pStyle w:val="Listenabsatz"/>
        <w:numPr>
          <w:ilvl w:val="0"/>
          <w:numId w:val="3"/>
        </w:numPr>
        <w:rPr>
          <w:rFonts w:cstheme="minorHAnsi"/>
        </w:rPr>
      </w:pPr>
      <w:r w:rsidRPr="000C2CCE">
        <w:rPr>
          <w:rFonts w:cstheme="minorHAnsi"/>
        </w:rPr>
        <w:t xml:space="preserve">Schaffung einer Datenbank zur </w:t>
      </w:r>
      <w:r w:rsidR="00D02B77">
        <w:rPr>
          <w:rFonts w:cstheme="minorHAnsi"/>
        </w:rPr>
        <w:t xml:space="preserve">gemeinsamen, </w:t>
      </w:r>
      <w:r w:rsidRPr="000C2CCE">
        <w:rPr>
          <w:rFonts w:cstheme="minorHAnsi"/>
        </w:rPr>
        <w:t>strukturierten Ablage von Messdaten</w:t>
      </w:r>
    </w:p>
    <w:p w:rsidR="00275C08" w:rsidRPr="000C2CCE" w:rsidRDefault="00275C08" w:rsidP="000C2CCE">
      <w:pPr>
        <w:pStyle w:val="Listenabsatz"/>
        <w:numPr>
          <w:ilvl w:val="0"/>
          <w:numId w:val="3"/>
        </w:numPr>
        <w:rPr>
          <w:rFonts w:cstheme="minorHAnsi"/>
        </w:rPr>
      </w:pPr>
      <w:r w:rsidRPr="000C2CCE">
        <w:rPr>
          <w:rFonts w:cstheme="minorHAnsi"/>
        </w:rPr>
        <w:t>Importmöglichkeit unterschiedlicher Messdatenformate</w:t>
      </w:r>
    </w:p>
    <w:p w:rsidR="00D02B77" w:rsidRPr="000C2CCE" w:rsidRDefault="00D02B77" w:rsidP="00D02B77">
      <w:pPr>
        <w:pStyle w:val="Listenabsatz"/>
        <w:numPr>
          <w:ilvl w:val="0"/>
          <w:numId w:val="1"/>
        </w:numPr>
        <w:rPr>
          <w:rFonts w:cstheme="minorHAnsi"/>
        </w:rPr>
      </w:pPr>
      <w:r w:rsidRPr="000C2CCE">
        <w:rPr>
          <w:rFonts w:cstheme="minorHAnsi"/>
        </w:rPr>
        <w:t>Einfache Verwaltung des Zugriffs über eine rollenbasierte Zugriffskontrolle</w:t>
      </w:r>
    </w:p>
    <w:p w:rsidR="00275C08" w:rsidRPr="000C2CCE" w:rsidRDefault="00275C08" w:rsidP="00AA298D">
      <w:pPr>
        <w:pStyle w:val="Listenabsatz"/>
        <w:numPr>
          <w:ilvl w:val="0"/>
          <w:numId w:val="1"/>
        </w:numPr>
        <w:rPr>
          <w:rFonts w:cstheme="minorHAnsi"/>
        </w:rPr>
      </w:pPr>
      <w:r w:rsidRPr="000C2CCE">
        <w:rPr>
          <w:rFonts w:cstheme="minorHAnsi"/>
        </w:rPr>
        <w:t xml:space="preserve">Geregelter Zugriff auf Messdaten über eine Schnittstelle (API) </w:t>
      </w:r>
    </w:p>
    <w:p w:rsidR="00864D83" w:rsidRPr="000C2CCE" w:rsidRDefault="001A27C8">
      <w:pPr>
        <w:rPr>
          <w:rFonts w:cstheme="minorHAnsi"/>
        </w:rPr>
      </w:pPr>
      <w:r>
        <w:rPr>
          <w:rFonts w:cstheme="minorHAnsi"/>
        </w:rPr>
        <w:t xml:space="preserve">Mit der Umsetzung des Projektes soll eine </w:t>
      </w:r>
      <w:r w:rsidR="00BB55BD">
        <w:rPr>
          <w:rFonts w:cstheme="minorHAnsi"/>
        </w:rPr>
        <w:t xml:space="preserve">programmtechnische </w:t>
      </w:r>
      <w:r>
        <w:rPr>
          <w:rFonts w:cstheme="minorHAnsi"/>
        </w:rPr>
        <w:t>Auswertung der Messdaten vereinfacht, ermöglicht und geregelt erfolgen können.</w:t>
      </w:r>
    </w:p>
    <w:p w:rsidR="001A27C8" w:rsidRDefault="001A27C8">
      <w:pPr>
        <w:rPr>
          <w:rFonts w:cstheme="minorHAnsi"/>
        </w:rPr>
      </w:pPr>
    </w:p>
    <w:p w:rsidR="00EF42EA" w:rsidRPr="00520544" w:rsidRDefault="00EF42EA">
      <w:pPr>
        <w:rPr>
          <w:rFonts w:cstheme="minorHAnsi"/>
          <w:b/>
        </w:rPr>
      </w:pPr>
      <w:r w:rsidRPr="00520544">
        <w:rPr>
          <w:rFonts w:cstheme="minorHAnsi"/>
          <w:b/>
        </w:rPr>
        <w:t>Umgebung</w:t>
      </w:r>
    </w:p>
    <w:p w:rsidR="001A27C8" w:rsidRPr="000C2CCE" w:rsidRDefault="001A27C8">
      <w:pPr>
        <w:rPr>
          <w:rFonts w:cstheme="minorHAnsi"/>
        </w:rPr>
      </w:pPr>
      <w:r>
        <w:rPr>
          <w:rFonts w:cstheme="minorHAnsi"/>
        </w:rPr>
        <w:t>Die Umsetzung des Projektes erfolgt unter zu Hilfenahme von bereits im Umfeld der Fachhochschule Salzburg</w:t>
      </w:r>
      <w:r w:rsidR="002A1A2C">
        <w:rPr>
          <w:rFonts w:cstheme="minorHAnsi"/>
        </w:rPr>
        <w:t>,</w:t>
      </w:r>
      <w:r>
        <w:rPr>
          <w:rFonts w:cstheme="minorHAnsi"/>
        </w:rPr>
        <w:t xml:space="preserve"> beziehungsweise des </w:t>
      </w:r>
      <w:r w:rsidRPr="001A27C8">
        <w:rPr>
          <w:rFonts w:cstheme="minorHAnsi"/>
        </w:rPr>
        <w:t xml:space="preserve">Josef </w:t>
      </w:r>
      <w:proofErr w:type="spellStart"/>
      <w:r w:rsidRPr="001A27C8">
        <w:rPr>
          <w:rFonts w:cstheme="minorHAnsi"/>
        </w:rPr>
        <w:t>Ressel</w:t>
      </w:r>
      <w:proofErr w:type="spellEnd"/>
      <w:r w:rsidRPr="001A27C8">
        <w:rPr>
          <w:rFonts w:cstheme="minorHAnsi"/>
        </w:rPr>
        <w:t xml:space="preserve"> Zentrum</w:t>
      </w:r>
      <w:r>
        <w:rPr>
          <w:rFonts w:cstheme="minorHAnsi"/>
        </w:rPr>
        <w:t>s</w:t>
      </w:r>
      <w:r w:rsidRPr="001A27C8">
        <w:rPr>
          <w:rFonts w:cstheme="minorHAnsi"/>
        </w:rPr>
        <w:t xml:space="preserve"> für Anwenderorientierte Smart </w:t>
      </w:r>
      <w:proofErr w:type="spellStart"/>
      <w:r w:rsidRPr="001A27C8">
        <w:rPr>
          <w:rFonts w:cstheme="minorHAnsi"/>
        </w:rPr>
        <w:t>Grid</w:t>
      </w:r>
      <w:proofErr w:type="spellEnd"/>
      <w:r w:rsidRPr="001A27C8">
        <w:rPr>
          <w:rFonts w:cstheme="minorHAnsi"/>
        </w:rPr>
        <w:t xml:space="preserve"> Privacy, Sicherheit und Steuerung</w:t>
      </w:r>
      <w:r>
        <w:rPr>
          <w:rFonts w:cstheme="minorHAnsi"/>
        </w:rPr>
        <w:t xml:space="preserve"> durchgeführten Projekte. Im Detail sind dies:</w:t>
      </w:r>
    </w:p>
    <w:p w:rsidR="00EF42EA" w:rsidRPr="000C2CCE" w:rsidRDefault="00EF42EA" w:rsidP="00EF42EA">
      <w:pPr>
        <w:pStyle w:val="Listenabsatz"/>
        <w:numPr>
          <w:ilvl w:val="0"/>
          <w:numId w:val="1"/>
        </w:numPr>
        <w:rPr>
          <w:rFonts w:cstheme="minorHAnsi"/>
        </w:rPr>
      </w:pPr>
      <w:r w:rsidRPr="000C2CCE">
        <w:rPr>
          <w:rFonts w:cstheme="minorHAnsi"/>
        </w:rPr>
        <w:t>Bestehendes Datenmodell</w:t>
      </w:r>
      <w:r w:rsidR="001A27C8">
        <w:rPr>
          <w:rFonts w:cstheme="minorHAnsi"/>
        </w:rPr>
        <w:t xml:space="preserve">: Ausgehend von „Christians Datenmodell“ (Details siehe </w:t>
      </w:r>
      <w:r w:rsidR="00FD19B4">
        <w:rPr>
          <w:rFonts w:cstheme="minorHAnsi"/>
        </w:rPr>
        <w:t xml:space="preserve">Abschnitt ER Modell festlegen) wird die Eignung für großen Mengen von Messdaten evaluiert und </w:t>
      </w:r>
      <w:r w:rsidR="001A27C8">
        <w:rPr>
          <w:rFonts w:cstheme="minorHAnsi"/>
        </w:rPr>
        <w:t xml:space="preserve">steht zur Verfügung und stellt die Ausgangsbasis für die Untersuchung eines </w:t>
      </w:r>
    </w:p>
    <w:p w:rsidR="00FD19B4" w:rsidRDefault="00FD19B4" w:rsidP="00FD19B4">
      <w:pPr>
        <w:pStyle w:val="Listenabsatz"/>
        <w:numPr>
          <w:ilvl w:val="0"/>
          <w:numId w:val="1"/>
        </w:numPr>
        <w:rPr>
          <w:rFonts w:cstheme="minorHAnsi"/>
        </w:rPr>
      </w:pPr>
      <w:r w:rsidRPr="000C2CCE">
        <w:rPr>
          <w:rFonts w:cstheme="minorHAnsi"/>
        </w:rPr>
        <w:lastRenderedPageBreak/>
        <w:t>Importmodule</w:t>
      </w:r>
      <w:r>
        <w:rPr>
          <w:rFonts w:cstheme="minorHAnsi"/>
        </w:rPr>
        <w:t xml:space="preserve"> (</w:t>
      </w:r>
      <w:r w:rsidRPr="00FD19B4">
        <w:rPr>
          <w:rFonts w:cstheme="minorHAnsi"/>
        </w:rPr>
        <w:t>BAC1 Gruppe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Oberluggauer</w:t>
      </w:r>
      <w:proofErr w:type="spellEnd"/>
      <w:r>
        <w:rPr>
          <w:rFonts w:cstheme="minorHAnsi"/>
        </w:rPr>
        <w:t xml:space="preserve"> und Co): parallel zur Projektumsetzung wird ein Programmpaket erstellt, welches unterschiedliche, in Dateien vorliegende, Datenformate in die Datenbank importiert.  </w:t>
      </w:r>
    </w:p>
    <w:p w:rsidR="00EF42EA" w:rsidRPr="00FD19B4" w:rsidRDefault="00FD19B4" w:rsidP="00FD19B4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RBAC System (</w:t>
      </w:r>
      <w:r w:rsidR="00EF42EA" w:rsidRPr="00FD19B4">
        <w:rPr>
          <w:rFonts w:cstheme="minorHAnsi"/>
        </w:rPr>
        <w:t>BAC1 Gruppe</w:t>
      </w:r>
      <w:r>
        <w:rPr>
          <w:rFonts w:cstheme="minorHAnsi"/>
        </w:rPr>
        <w:t xml:space="preserve"> – Namen fehlen)</w:t>
      </w:r>
      <w:r w:rsidR="00EF42EA" w:rsidRPr="00FD19B4">
        <w:rPr>
          <w:rFonts w:cstheme="minorHAnsi"/>
        </w:rPr>
        <w:t>:</w:t>
      </w:r>
      <w:r>
        <w:rPr>
          <w:rFonts w:cstheme="minorHAnsi"/>
        </w:rPr>
        <w:t xml:space="preserve"> stellt ein Softwarepaket zur Verfügung über das der rollenbasierte Zugriffsschutz realisiert wird.</w:t>
      </w:r>
    </w:p>
    <w:p w:rsidR="00864D83" w:rsidRPr="000C2CCE" w:rsidRDefault="00FD19B4">
      <w:pPr>
        <w:rPr>
          <w:rFonts w:cstheme="minorHAnsi"/>
        </w:rPr>
      </w:pPr>
      <w:r>
        <w:rPr>
          <w:rFonts w:cstheme="minorHAnsi"/>
        </w:rPr>
        <w:t>W</w:t>
      </w:r>
      <w:r w:rsidR="00520544">
        <w:rPr>
          <w:rFonts w:cstheme="minorHAnsi"/>
        </w:rPr>
        <w:t>eitere</w:t>
      </w:r>
      <w:r>
        <w:rPr>
          <w:rFonts w:cstheme="minorHAnsi"/>
        </w:rPr>
        <w:t xml:space="preserve"> verwendete Softwarepakete </w:t>
      </w:r>
      <w:r w:rsidR="00520544">
        <w:rPr>
          <w:rFonts w:cstheme="minorHAnsi"/>
        </w:rPr>
        <w:t xml:space="preserve">werden </w:t>
      </w:r>
      <w:r w:rsidR="00E46B3A">
        <w:rPr>
          <w:rFonts w:cstheme="minorHAnsi"/>
        </w:rPr>
        <w:t>im Abschnitt Systemarchite</w:t>
      </w:r>
      <w:r>
        <w:rPr>
          <w:rFonts w:cstheme="minorHAnsi"/>
        </w:rPr>
        <w:t>ktur erwähnt.</w:t>
      </w:r>
    </w:p>
    <w:p w:rsidR="00FD19B4" w:rsidRDefault="00FD19B4">
      <w:pPr>
        <w:rPr>
          <w:rFonts w:cstheme="minorHAnsi"/>
        </w:rPr>
      </w:pPr>
    </w:p>
    <w:p w:rsidR="00FD19B4" w:rsidRPr="000C2CCE" w:rsidRDefault="00FD19B4">
      <w:pPr>
        <w:rPr>
          <w:rFonts w:cstheme="minorHAnsi"/>
        </w:rPr>
      </w:pPr>
    </w:p>
    <w:p w:rsidR="00864D83" w:rsidRPr="00520544" w:rsidRDefault="00864D83">
      <w:pPr>
        <w:rPr>
          <w:rFonts w:cstheme="minorHAnsi"/>
          <w:b/>
        </w:rPr>
      </w:pPr>
      <w:r w:rsidRPr="00520544">
        <w:rPr>
          <w:rFonts w:cstheme="minorHAnsi"/>
          <w:b/>
        </w:rPr>
        <w:t>Literatur</w:t>
      </w:r>
    </w:p>
    <w:p w:rsidR="00864D83" w:rsidRPr="000C2CCE" w:rsidRDefault="0037591C" w:rsidP="00864D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2CCE">
        <w:rPr>
          <w:rFonts w:cstheme="minorHAnsi"/>
        </w:rPr>
        <w:t>[Richtlinie 2009</w:t>
      </w:r>
      <w:r w:rsidR="00864D83" w:rsidRPr="000C2CCE">
        <w:rPr>
          <w:rFonts w:cstheme="minorHAnsi"/>
        </w:rPr>
        <w:t>] „Richtlinie 2009/72/EG des Europäischen Parlaments und des Rates vom</w:t>
      </w:r>
    </w:p>
    <w:p w:rsidR="00864D83" w:rsidRPr="000C2CCE" w:rsidRDefault="00864D83" w:rsidP="00864D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2CCE">
        <w:rPr>
          <w:rFonts w:cstheme="minorHAnsi"/>
        </w:rPr>
        <w:t>13. Juli 2009,” Das Europäische Parlament und der Rat der Europäischen</w:t>
      </w:r>
    </w:p>
    <w:p w:rsidR="00864D83" w:rsidRPr="000C2CCE" w:rsidRDefault="00864D83" w:rsidP="00864D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2CCE">
        <w:rPr>
          <w:rFonts w:cstheme="minorHAnsi"/>
        </w:rPr>
        <w:t>Union. [Online]. Abgerufen von: http://publications.europa.eu/resource/</w:t>
      </w:r>
    </w:p>
    <w:p w:rsidR="00864D83" w:rsidRPr="000C2CCE" w:rsidRDefault="00864D83" w:rsidP="00864D83">
      <w:pPr>
        <w:rPr>
          <w:rFonts w:cstheme="minorHAnsi"/>
        </w:rPr>
      </w:pPr>
      <w:proofErr w:type="spellStart"/>
      <w:r w:rsidRPr="000C2CCE">
        <w:rPr>
          <w:rFonts w:cstheme="minorHAnsi"/>
        </w:rPr>
        <w:t>celex</w:t>
      </w:r>
      <w:proofErr w:type="spellEnd"/>
      <w:r w:rsidRPr="000C2CCE">
        <w:rPr>
          <w:rFonts w:cstheme="minorHAnsi"/>
        </w:rPr>
        <w:t>/32009R0713</w:t>
      </w:r>
    </w:p>
    <w:p w:rsidR="00275C08" w:rsidRPr="000C2CCE" w:rsidRDefault="00275C08" w:rsidP="00864D83">
      <w:pPr>
        <w:rPr>
          <w:rFonts w:cstheme="minorHAnsi"/>
        </w:rPr>
      </w:pPr>
    </w:p>
    <w:p w:rsidR="00275C08" w:rsidRPr="000C2CCE" w:rsidRDefault="00275C08" w:rsidP="00864D83">
      <w:pPr>
        <w:rPr>
          <w:rFonts w:cstheme="minorHAnsi"/>
        </w:rPr>
      </w:pPr>
      <w:r w:rsidRPr="000C2CCE">
        <w:rPr>
          <w:rFonts w:cstheme="minorHAnsi"/>
        </w:rPr>
        <w:t>[</w:t>
      </w:r>
      <w:proofErr w:type="spellStart"/>
      <w:r w:rsidRPr="000C2CCE">
        <w:rPr>
          <w:rFonts w:cstheme="minorHAnsi"/>
        </w:rPr>
        <w:t>Cosem</w:t>
      </w:r>
      <w:proofErr w:type="spellEnd"/>
      <w:r w:rsidRPr="000C2CCE">
        <w:rPr>
          <w:rFonts w:cstheme="minorHAnsi"/>
        </w:rPr>
        <w:t>]</w:t>
      </w:r>
    </w:p>
    <w:p w:rsidR="00275C08" w:rsidRPr="00275C08" w:rsidRDefault="00275C08" w:rsidP="00275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de-AT"/>
        </w:rPr>
      </w:pPr>
      <w:r w:rsidRPr="00275C08">
        <w:rPr>
          <w:rFonts w:eastAsia="Times New Roman" w:cstheme="minorHAnsi"/>
          <w:lang w:val="en-US" w:eastAsia="de-AT"/>
        </w:rPr>
        <w:t>@</w:t>
      </w:r>
      <w:proofErr w:type="spellStart"/>
      <w:r w:rsidRPr="00275C08">
        <w:rPr>
          <w:rFonts w:eastAsia="Times New Roman" w:cstheme="minorHAnsi"/>
          <w:lang w:val="en-US" w:eastAsia="de-AT"/>
        </w:rPr>
        <w:t>inproceedings</w:t>
      </w:r>
      <w:proofErr w:type="spellEnd"/>
      <w:r w:rsidRPr="00275C08">
        <w:rPr>
          <w:rFonts w:eastAsia="Times New Roman" w:cstheme="minorHAnsi"/>
          <w:lang w:val="en-US" w:eastAsia="de-AT"/>
        </w:rPr>
        <w:t>{de2010analysis,</w:t>
      </w:r>
    </w:p>
    <w:p w:rsidR="00275C08" w:rsidRPr="00275C08" w:rsidRDefault="00275C08" w:rsidP="00275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de-AT"/>
        </w:rPr>
      </w:pPr>
      <w:r w:rsidRPr="00275C08">
        <w:rPr>
          <w:rFonts w:eastAsia="Times New Roman" w:cstheme="minorHAnsi"/>
          <w:lang w:val="en-US" w:eastAsia="de-AT"/>
        </w:rPr>
        <w:t xml:space="preserve">  title={Analysis of state-of-the-art smart metering communication standards},</w:t>
      </w:r>
    </w:p>
    <w:p w:rsidR="00275C08" w:rsidRPr="00275C08" w:rsidRDefault="00275C08" w:rsidP="00275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de-AT"/>
        </w:rPr>
      </w:pPr>
      <w:r w:rsidRPr="00275C08">
        <w:rPr>
          <w:rFonts w:eastAsia="Times New Roman" w:cstheme="minorHAnsi"/>
          <w:lang w:val="en-US" w:eastAsia="de-AT"/>
        </w:rPr>
        <w:t xml:space="preserve">  author={De </w:t>
      </w:r>
      <w:proofErr w:type="spellStart"/>
      <w:r w:rsidRPr="00275C08">
        <w:rPr>
          <w:rFonts w:eastAsia="Times New Roman" w:cstheme="minorHAnsi"/>
          <w:lang w:val="en-US" w:eastAsia="de-AT"/>
        </w:rPr>
        <w:t>Craemer</w:t>
      </w:r>
      <w:proofErr w:type="spellEnd"/>
      <w:r w:rsidRPr="00275C08">
        <w:rPr>
          <w:rFonts w:eastAsia="Times New Roman" w:cstheme="minorHAnsi"/>
          <w:lang w:val="en-US" w:eastAsia="de-AT"/>
        </w:rPr>
        <w:t xml:space="preserve">, </w:t>
      </w:r>
      <w:proofErr w:type="spellStart"/>
      <w:r w:rsidRPr="00275C08">
        <w:rPr>
          <w:rFonts w:eastAsia="Times New Roman" w:cstheme="minorHAnsi"/>
          <w:lang w:val="en-US" w:eastAsia="de-AT"/>
        </w:rPr>
        <w:t>Klaas</w:t>
      </w:r>
      <w:proofErr w:type="spellEnd"/>
      <w:r w:rsidRPr="00275C08">
        <w:rPr>
          <w:rFonts w:eastAsia="Times New Roman" w:cstheme="minorHAnsi"/>
          <w:lang w:val="en-US" w:eastAsia="de-AT"/>
        </w:rPr>
        <w:t xml:space="preserve"> and </w:t>
      </w:r>
      <w:proofErr w:type="spellStart"/>
      <w:r w:rsidRPr="00275C08">
        <w:rPr>
          <w:rFonts w:eastAsia="Times New Roman" w:cstheme="minorHAnsi"/>
          <w:lang w:val="en-US" w:eastAsia="de-AT"/>
        </w:rPr>
        <w:t>Deconinck</w:t>
      </w:r>
      <w:proofErr w:type="spellEnd"/>
      <w:r w:rsidRPr="00275C08">
        <w:rPr>
          <w:rFonts w:eastAsia="Times New Roman" w:cstheme="minorHAnsi"/>
          <w:lang w:val="en-US" w:eastAsia="de-AT"/>
        </w:rPr>
        <w:t>, Geert},</w:t>
      </w:r>
    </w:p>
    <w:p w:rsidR="00275C08" w:rsidRPr="00275C08" w:rsidRDefault="00275C08" w:rsidP="00275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de-AT"/>
        </w:rPr>
      </w:pPr>
      <w:r w:rsidRPr="00275C08">
        <w:rPr>
          <w:rFonts w:eastAsia="Times New Roman" w:cstheme="minorHAnsi"/>
          <w:lang w:val="en-US" w:eastAsia="de-AT"/>
        </w:rPr>
        <w:t xml:space="preserve">  </w:t>
      </w:r>
      <w:proofErr w:type="spellStart"/>
      <w:r w:rsidRPr="00275C08">
        <w:rPr>
          <w:rFonts w:eastAsia="Times New Roman" w:cstheme="minorHAnsi"/>
          <w:lang w:val="en-US" w:eastAsia="de-AT"/>
        </w:rPr>
        <w:t>booktitle</w:t>
      </w:r>
      <w:proofErr w:type="spellEnd"/>
      <w:r w:rsidRPr="00275C08">
        <w:rPr>
          <w:rFonts w:eastAsia="Times New Roman" w:cstheme="minorHAnsi"/>
          <w:lang w:val="en-US" w:eastAsia="de-AT"/>
        </w:rPr>
        <w:t>={Proceedings of the 5th young researchers symposium},</w:t>
      </w:r>
    </w:p>
    <w:p w:rsidR="00275C08" w:rsidRPr="00275C08" w:rsidRDefault="00275C08" w:rsidP="00275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de-AT"/>
        </w:rPr>
      </w:pPr>
      <w:r w:rsidRPr="00275C08">
        <w:rPr>
          <w:rFonts w:eastAsia="Times New Roman" w:cstheme="minorHAnsi"/>
          <w:lang w:val="en-US" w:eastAsia="de-AT"/>
        </w:rPr>
        <w:t xml:space="preserve">  </w:t>
      </w:r>
      <w:proofErr w:type="spellStart"/>
      <w:r w:rsidRPr="00275C08">
        <w:rPr>
          <w:rFonts w:eastAsia="Times New Roman" w:cstheme="minorHAnsi"/>
          <w:lang w:eastAsia="de-AT"/>
        </w:rPr>
        <w:t>year</w:t>
      </w:r>
      <w:proofErr w:type="spellEnd"/>
      <w:r w:rsidRPr="00275C08">
        <w:rPr>
          <w:rFonts w:eastAsia="Times New Roman" w:cstheme="minorHAnsi"/>
          <w:lang w:eastAsia="de-AT"/>
        </w:rPr>
        <w:t>={2010}</w:t>
      </w:r>
    </w:p>
    <w:p w:rsidR="00275C08" w:rsidRDefault="00275C08" w:rsidP="00275C08">
      <w:pPr>
        <w:rPr>
          <w:rFonts w:eastAsia="Times New Roman" w:cstheme="minorHAnsi"/>
          <w:lang w:eastAsia="de-AT"/>
        </w:rPr>
      </w:pPr>
      <w:r w:rsidRPr="000C2CCE">
        <w:rPr>
          <w:rFonts w:eastAsia="Times New Roman" w:cstheme="minorHAnsi"/>
          <w:lang w:eastAsia="de-AT"/>
        </w:rPr>
        <w:t>}</w:t>
      </w:r>
    </w:p>
    <w:p w:rsidR="00A300F2" w:rsidRDefault="00A300F2" w:rsidP="00275C08">
      <w:pPr>
        <w:rPr>
          <w:rFonts w:eastAsia="Times New Roman" w:cstheme="minorHAnsi"/>
          <w:lang w:eastAsia="de-AT"/>
        </w:rPr>
      </w:pPr>
    </w:p>
    <w:p w:rsidR="00A300F2" w:rsidRDefault="00A300F2" w:rsidP="00275C08">
      <w:pPr>
        <w:rPr>
          <w:rFonts w:eastAsia="Times New Roman" w:cstheme="minorHAnsi"/>
          <w:lang w:eastAsia="de-AT"/>
        </w:rPr>
      </w:pPr>
    </w:p>
    <w:p w:rsidR="00745734" w:rsidRDefault="00A300F2" w:rsidP="00275C08">
      <w:pPr>
        <w:rPr>
          <w:rFonts w:eastAsia="Times New Roman" w:cstheme="minorHAnsi"/>
          <w:lang w:eastAsia="de-AT"/>
        </w:rPr>
      </w:pPr>
      <w:r>
        <w:rPr>
          <w:rFonts w:eastAsia="Times New Roman" w:cstheme="minorHAnsi"/>
          <w:lang w:eastAsia="de-AT"/>
        </w:rPr>
        <w:t xml:space="preserve">[SML] Bundesamt für Sicherheit in der IT: </w:t>
      </w:r>
    </w:p>
    <w:p w:rsidR="00A300F2" w:rsidRDefault="00745734" w:rsidP="00275C08">
      <w:pPr>
        <w:rPr>
          <w:rFonts w:eastAsia="Times New Roman" w:cstheme="minorHAnsi"/>
          <w:lang w:eastAsia="de-AT"/>
        </w:rPr>
      </w:pPr>
      <w:r>
        <w:rPr>
          <w:rFonts w:ascii="Arial" w:hAnsi="Arial" w:cs="Arial"/>
          <w:color w:val="222222"/>
          <w:lang w:val="de-DE"/>
        </w:rPr>
        <w:t>BSI TR-03109 Technische Vorgaben für intelligente Messsysteme und deren sicherer Betrieb</w:t>
      </w:r>
      <w:r>
        <w:rPr>
          <w:rFonts w:eastAsia="Times New Roman" w:cstheme="minorHAnsi"/>
          <w:lang w:eastAsia="de-AT"/>
        </w:rPr>
        <w:t xml:space="preserve"> </w:t>
      </w:r>
      <w:hyperlink r:id="rId5" w:history="1">
        <w:r w:rsidR="00A300F2" w:rsidRPr="0027009D">
          <w:rPr>
            <w:rStyle w:val="Hyperlink"/>
            <w:rFonts w:eastAsia="Times New Roman" w:cstheme="minorHAnsi"/>
            <w:lang w:eastAsia="de-AT"/>
          </w:rPr>
          <w:t>https://www.bsi.bund.de/SharedDocs/Downloads/DE/BSI/Publikationen/TechnischeRichtlinien/TR03109/TR-03109-1_Anlage_Feinspezifikation_Drahtgebundene_LMN-Schnittstelle_Teilb.pdf?__blob=publicationFile</w:t>
        </w:r>
      </w:hyperlink>
      <w:r w:rsidR="00A300F2">
        <w:rPr>
          <w:rFonts w:eastAsia="Times New Roman" w:cstheme="minorHAnsi"/>
          <w:lang w:eastAsia="de-AT"/>
        </w:rPr>
        <w:t xml:space="preserve"> </w:t>
      </w:r>
    </w:p>
    <w:p w:rsidR="009501B5" w:rsidRDefault="009501B5" w:rsidP="00275C08">
      <w:pPr>
        <w:rPr>
          <w:rFonts w:cstheme="minorHAnsi"/>
        </w:rPr>
      </w:pPr>
    </w:p>
    <w:p w:rsidR="00A300F2" w:rsidRDefault="009537D1" w:rsidP="00275C08">
      <w:pPr>
        <w:rPr>
          <w:rFonts w:cstheme="minorHAnsi"/>
        </w:rPr>
      </w:pPr>
      <w:r>
        <w:rPr>
          <w:rFonts w:cstheme="minorHAnsi"/>
        </w:rPr>
        <w:t xml:space="preserve">[IEC </w:t>
      </w:r>
      <w:r w:rsidR="000F21D8">
        <w:rPr>
          <w:rFonts w:cstheme="minorHAnsi"/>
        </w:rPr>
        <w:t>61850</w:t>
      </w:r>
      <w:r w:rsidR="00F97B5E">
        <w:rPr>
          <w:rFonts w:cstheme="minorHAnsi"/>
        </w:rPr>
        <w:t xml:space="preserve">, daraus abgeleitet </w:t>
      </w:r>
      <w:proofErr w:type="spellStart"/>
      <w:r w:rsidR="00F97B5E">
        <w:rPr>
          <w:rFonts w:cstheme="minorHAnsi"/>
        </w:rPr>
        <w:t>ÖNorm</w:t>
      </w:r>
      <w:proofErr w:type="spellEnd"/>
      <w:r w:rsidR="00F97B5E">
        <w:rPr>
          <w:rFonts w:cstheme="minorHAnsi"/>
        </w:rPr>
        <w:t xml:space="preserve"> 61850</w:t>
      </w:r>
      <w:r>
        <w:rPr>
          <w:rFonts w:cstheme="minorHAnsi"/>
        </w:rPr>
        <w:t>]</w:t>
      </w:r>
    </w:p>
    <w:p w:rsidR="00420A0D" w:rsidRPr="000C2CCE" w:rsidRDefault="009537D1" w:rsidP="00275C08">
      <w:pPr>
        <w:rPr>
          <w:rFonts w:cstheme="minorHAnsi"/>
        </w:rPr>
      </w:pPr>
      <w:r>
        <w:rPr>
          <w:rFonts w:ascii="Verdana" w:hAnsi="Verdana"/>
          <w:color w:val="333333"/>
          <w:sz w:val="17"/>
          <w:szCs w:val="17"/>
        </w:rPr>
        <w:t xml:space="preserve">Kommunikationsnetze und -systeme für die Automatisierung in der elektrischen Energieversorgung - Teil </w:t>
      </w:r>
      <w:bookmarkStart w:id="0" w:name="_GoBack"/>
      <w:bookmarkEnd w:id="0"/>
      <w:r>
        <w:rPr>
          <w:rFonts w:ascii="Verdana" w:hAnsi="Verdana"/>
          <w:color w:val="333333"/>
          <w:sz w:val="17"/>
          <w:szCs w:val="17"/>
        </w:rPr>
        <w:t>6: Sprache für die Beschreibung der Konfiguration für die Kommunikation in Stationen mit intelligenten elektronischen Geräten (IED) (IEC 61850-6:2009</w:t>
      </w:r>
    </w:p>
    <w:sectPr w:rsidR="00420A0D" w:rsidRPr="000C2C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27BD4"/>
    <w:multiLevelType w:val="hybridMultilevel"/>
    <w:tmpl w:val="F210F60C"/>
    <w:lvl w:ilvl="0" w:tplc="C16CFAF4">
      <w:numFmt w:val="bullet"/>
      <w:lvlText w:val="-"/>
      <w:lvlJc w:val="left"/>
      <w:pPr>
        <w:ind w:left="720" w:hanging="360"/>
      </w:pPr>
      <w:rPr>
        <w:rFonts w:ascii="URWPalladioL-Ital" w:eastAsiaTheme="minorHAnsi" w:hAnsi="URWPalladioL-Ital" w:cs="URWPalladioL-It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55707"/>
    <w:multiLevelType w:val="hybridMultilevel"/>
    <w:tmpl w:val="BB042B16"/>
    <w:lvl w:ilvl="0" w:tplc="F2FA1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0013C"/>
    <w:multiLevelType w:val="hybridMultilevel"/>
    <w:tmpl w:val="778A72F0"/>
    <w:lvl w:ilvl="0" w:tplc="68C6D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2C"/>
    <w:rsid w:val="0007300B"/>
    <w:rsid w:val="00083A00"/>
    <w:rsid w:val="000C182F"/>
    <w:rsid w:val="000C2CCE"/>
    <w:rsid w:val="000F21D8"/>
    <w:rsid w:val="00121F2C"/>
    <w:rsid w:val="001A27C8"/>
    <w:rsid w:val="00236AB6"/>
    <w:rsid w:val="00275C08"/>
    <w:rsid w:val="002A1A2C"/>
    <w:rsid w:val="0037591C"/>
    <w:rsid w:val="00420A0D"/>
    <w:rsid w:val="004B2870"/>
    <w:rsid w:val="00520544"/>
    <w:rsid w:val="00694552"/>
    <w:rsid w:val="007312CC"/>
    <w:rsid w:val="00745734"/>
    <w:rsid w:val="00864D83"/>
    <w:rsid w:val="009501B5"/>
    <w:rsid w:val="009537D1"/>
    <w:rsid w:val="009D231A"/>
    <w:rsid w:val="00A1538C"/>
    <w:rsid w:val="00A300F2"/>
    <w:rsid w:val="00A70B2C"/>
    <w:rsid w:val="00AE78E9"/>
    <w:rsid w:val="00BB55BD"/>
    <w:rsid w:val="00CF5024"/>
    <w:rsid w:val="00D02B77"/>
    <w:rsid w:val="00D91C06"/>
    <w:rsid w:val="00DE3647"/>
    <w:rsid w:val="00E46B3A"/>
    <w:rsid w:val="00EF42EA"/>
    <w:rsid w:val="00F97B5E"/>
    <w:rsid w:val="00FD19B4"/>
    <w:rsid w:val="00FF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5130"/>
  <w15:chartTrackingRefBased/>
  <w15:docId w15:val="{D02E1A60-7073-4F73-9D7A-479D193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5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5C0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275C0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30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si.bund.de/SharedDocs/Downloads/DE/BSI/Publikationen/TechnischeRichtlinien/TR03109/TR-03109-1_Anlage_Feinspezifikation_Drahtgebundene_LMN-Schnittstelle_Teilb.pdf?__blob=publication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613</Words>
  <Characters>3863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Unterrainer</dc:creator>
  <cp:keywords/>
  <dc:description/>
  <cp:lastModifiedBy>Maximilian Unterrainer</cp:lastModifiedBy>
  <cp:revision>23</cp:revision>
  <dcterms:created xsi:type="dcterms:W3CDTF">2017-02-08T08:07:00Z</dcterms:created>
  <dcterms:modified xsi:type="dcterms:W3CDTF">2017-02-08T11:12:00Z</dcterms:modified>
</cp:coreProperties>
</file>