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>Anforderungen durch das JRZ als Auftraggeber und berücksichtigt auch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3A408E">
        <w:rPr>
          <w:rFonts w:ascii="CG Times (W1)" w:hAnsi="CG Times (W1)"/>
          <w:lang w:eastAsia="de-AT"/>
        </w:rPr>
        <w:t xml:space="preserve">Des </w:t>
      </w:r>
      <w:proofErr w:type="spellStart"/>
      <w:r w:rsidR="003A408E">
        <w:rPr>
          <w:rFonts w:ascii="CG Times (W1)" w:hAnsi="CG Times (W1)"/>
          <w:lang w:eastAsia="de-AT"/>
        </w:rPr>
        <w:t>w</w:t>
      </w:r>
      <w:r w:rsidR="0027092D">
        <w:rPr>
          <w:rFonts w:ascii="CG Times (W1)" w:hAnsi="CG Times (W1)"/>
          <w:lang w:eastAsia="de-AT"/>
        </w:rPr>
        <w:t>eiter</w:t>
      </w:r>
      <w:r w:rsidR="003A408E">
        <w:rPr>
          <w:rFonts w:ascii="CG Times (W1)" w:hAnsi="CG Times (W1)"/>
          <w:lang w:eastAsia="de-AT"/>
        </w:rPr>
        <w:t>en</w:t>
      </w:r>
      <w:proofErr w:type="spellEnd"/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8F06B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 xml:space="preserve">Recherche nach Datenmodellen, die bereits abseits von </w:t>
      </w:r>
      <w:r w:rsidRPr="005302C3">
        <w:rPr>
          <w:rFonts w:ascii="CG Times (W1)" w:hAnsi="CG Times (W1)"/>
          <w:lang w:eastAsia="de-AT"/>
        </w:rPr>
        <w:t>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8F06B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Feststellen der Wertemenge die </w:t>
      </w:r>
      <w:proofErr w:type="spellStart"/>
      <w:r>
        <w:rPr>
          <w:rFonts w:ascii="CG Times (W1)" w:hAnsi="CG Times (W1)"/>
          <w:lang w:eastAsia="de-AT"/>
        </w:rPr>
        <w:t>SmartMeter</w:t>
      </w:r>
      <w:proofErr w:type="spellEnd"/>
      <w:r>
        <w:rPr>
          <w:rFonts w:ascii="CG Times (W1)" w:hAnsi="CG Times (W1)"/>
          <w:lang w:eastAsia="de-AT"/>
        </w:rPr>
        <w:t xml:space="preserve"> zur Verfügung stellen.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proofErr w:type="spellStart"/>
      <w:r w:rsidRPr="0084530C">
        <w:rPr>
          <w:rFonts w:ascii="CG Times (W1)" w:hAnsi="CG Times (W1)"/>
          <w:lang w:eastAsia="de-AT"/>
        </w:rPr>
        <w:t>sterreichs</w:t>
      </w:r>
      <w:proofErr w:type="spellEnd"/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Pr="00594D5B" w:rsidRDefault="00461603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bei</w:t>
      </w:r>
      <w:r w:rsidR="00C52020" w:rsidRPr="00594D5B">
        <w:rPr>
          <w:rFonts w:ascii="CG Times (W1)" w:hAnsi="CG Times (W1)"/>
          <w:lang w:eastAsia="de-AT"/>
        </w:rPr>
        <w:t xml:space="preserve"> einigen </w:t>
      </w:r>
      <w:r>
        <w:rPr>
          <w:rFonts w:ascii="CG Times (W1)" w:hAnsi="CG Times (W1)"/>
          <w:lang w:eastAsia="de-AT"/>
        </w:rPr>
        <w:t xml:space="preserve">österreichischen </w:t>
      </w:r>
      <w:r w:rsidR="00C52020" w:rsidRPr="00594D5B">
        <w:rPr>
          <w:rFonts w:ascii="CG Times (W1)" w:hAnsi="CG Times (W1)"/>
          <w:lang w:eastAsia="de-AT"/>
        </w:rPr>
        <w:t>Energieversorg</w:t>
      </w:r>
      <w:r>
        <w:rPr>
          <w:rFonts w:ascii="CG Times (W1)" w:hAnsi="CG Times (W1)"/>
          <w:lang w:eastAsia="de-AT"/>
        </w:rPr>
        <w:t>ern.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BD311D" w:rsidRDefault="00594D5B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Anforderungen von Energieversorgern, im speziellen die Salzburg AG als Partnerunternehmen: </w:t>
      </w:r>
    </w:p>
    <w:p w:rsidR="00BD311D" w:rsidRDefault="00BD311D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Anfragen an: Linz </w:t>
      </w:r>
      <w:r w:rsidR="00A701B9">
        <w:rPr>
          <w:rFonts w:ascii="CG Times (W1)" w:hAnsi="CG Times (W1)"/>
          <w:lang w:eastAsia="de-AT"/>
        </w:rPr>
        <w:t xml:space="preserve">AG; Energie AG, Energie Steiermark, </w:t>
      </w:r>
      <w:proofErr w:type="spellStart"/>
      <w:r w:rsidR="00A701B9">
        <w:rPr>
          <w:rFonts w:ascii="CG Times (W1)" w:hAnsi="CG Times (W1)"/>
          <w:lang w:eastAsia="de-AT"/>
        </w:rPr>
        <w:t>TiNetz</w:t>
      </w:r>
      <w:proofErr w:type="spellEnd"/>
      <w:r w:rsidR="00A701B9">
        <w:rPr>
          <w:rFonts w:ascii="CG Times (W1)" w:hAnsi="CG Times (W1)"/>
          <w:lang w:eastAsia="de-AT"/>
        </w:rPr>
        <w:t>, Vorarlberger Energienetze GmbH, Wien Energie</w:t>
      </w:r>
    </w:p>
    <w:p w:rsidR="00594D5B" w:rsidRPr="00BD311D" w:rsidRDefault="00594D5B" w:rsidP="00BD311D">
      <w:pPr>
        <w:pStyle w:val="Listenabsatz"/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Verweis aufs </w:t>
      </w:r>
      <w:proofErr w:type="spellStart"/>
      <w:r w:rsidRPr="00BD311D">
        <w:rPr>
          <w:rFonts w:ascii="CG Times (W1)" w:hAnsi="CG Times (W1)"/>
          <w:lang w:eastAsia="de-AT"/>
        </w:rPr>
        <w:t>ElWOG</w:t>
      </w:r>
      <w:proofErr w:type="spellEnd"/>
      <w:r w:rsidRPr="00BD311D">
        <w:rPr>
          <w:rFonts w:ascii="CG Times (W1)" w:hAnsi="CG Times (W1)"/>
          <w:lang w:eastAsia="de-AT"/>
        </w:rPr>
        <w:t xml:space="preserve">, gar keine Antworten, Antworten nur per Telefon (hole ich noch nach), </w:t>
      </w:r>
      <w:r w:rsidR="00BD311D" w:rsidRPr="00BD311D">
        <w:rPr>
          <w:rFonts w:ascii="CG Times (W1)" w:hAnsi="CG Times (W1)"/>
          <w:lang w:eastAsia="de-AT"/>
        </w:rPr>
        <w:t>Blaschke ist verschollen?</w:t>
      </w:r>
      <w:r w:rsidR="00BD311D">
        <w:rPr>
          <w:rFonts w:ascii="CG Times (W1)" w:hAnsi="CG Times (W1)"/>
          <w:lang w:eastAsia="de-AT"/>
        </w:rPr>
        <w:br/>
        <w:t xml:space="preserve">Fachlich sehen wir hier keine Erweiterungsnotwendigkeit, </w:t>
      </w:r>
      <w:proofErr w:type="spellStart"/>
      <w:r w:rsidR="00BD311D">
        <w:rPr>
          <w:rFonts w:ascii="CG Times (W1)" w:hAnsi="CG Times (W1)"/>
          <w:lang w:eastAsia="de-AT"/>
        </w:rPr>
        <w:t>meter_daten</w:t>
      </w:r>
      <w:proofErr w:type="spellEnd"/>
      <w:r w:rsidRPr="00BD311D">
        <w:rPr>
          <w:rFonts w:ascii="CG Times (W1)" w:hAnsi="CG Times (W1)"/>
          <w:lang w:eastAsia="de-AT"/>
        </w:rPr>
        <w:t xml:space="preserve"> </w:t>
      </w:r>
      <w:r w:rsidR="00BD311D">
        <w:rPr>
          <w:rFonts w:ascii="CG Times (W1)" w:hAnsi="CG Times (W1)"/>
          <w:lang w:eastAsia="de-AT"/>
        </w:rPr>
        <w:t xml:space="preserve">bleibt, </w:t>
      </w:r>
      <w:proofErr w:type="spellStart"/>
      <w:r w:rsidR="00BD311D">
        <w:rPr>
          <w:rFonts w:ascii="CG Times (W1)" w:hAnsi="CG Times (W1)"/>
          <w:lang w:eastAsia="de-AT"/>
        </w:rPr>
        <w:t>im</w:t>
      </w:r>
      <w:proofErr w:type="spellEnd"/>
      <w:r w:rsidR="00BD311D">
        <w:rPr>
          <w:rFonts w:ascii="CG Times (W1)" w:hAnsi="CG Times (W1)"/>
          <w:lang w:eastAsia="de-AT"/>
        </w:rPr>
        <w:t xml:space="preserve"> Bezug auf Nutzdaten, wie es ist.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 w:rsidRPr="00EB7328">
        <w:rPr>
          <w:rFonts w:ascii="CG Times (W1)" w:hAnsi="CG Times (W1)"/>
          <w:lang w:val="en-US" w:eastAsia="de-AT"/>
        </w:rPr>
        <w:t>Andere</w:t>
      </w:r>
      <w:proofErr w:type="spellEnd"/>
      <w:r w:rsidRPr="00EB7328">
        <w:rPr>
          <w:rFonts w:ascii="CG Times (W1)" w:hAnsi="CG Times (W1)"/>
          <w:lang w:val="en-US" w:eastAsia="de-AT"/>
        </w:rPr>
        <w:t xml:space="preserve"> </w:t>
      </w:r>
      <w:proofErr w:type="spellStart"/>
      <w:r w:rsidRPr="00EB7328">
        <w:rPr>
          <w:rFonts w:ascii="CG Times (W1)" w:hAnsi="CG Times (W1)"/>
          <w:lang w:val="en-US" w:eastAsia="de-AT"/>
        </w:rPr>
        <w:t>Datenmodelle</w:t>
      </w:r>
      <w:proofErr w:type="spellEnd"/>
      <w:r w:rsidRPr="00EB7328">
        <w:rPr>
          <w:rFonts w:ascii="CG Times (W1)" w:hAnsi="CG Times (W1)"/>
          <w:lang w:val="en-US" w:eastAsia="de-AT"/>
        </w:rPr>
        <w:t>:</w:t>
      </w:r>
      <w:r w:rsidRPr="00EB7328">
        <w:rPr>
          <w:rFonts w:ascii="CG Times (W1)" w:hAnsi="CG Times (W1)"/>
          <w:lang w:val="en-US" w:eastAsia="de-AT"/>
        </w:rPr>
        <w:br/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(was ist denn das wieder?) </w:t>
      </w:r>
      <w:proofErr w:type="spellStart"/>
      <w:r>
        <w:rPr>
          <w:rFonts w:ascii="CG Times (W1)" w:hAnsi="CG Times (W1)"/>
          <w:lang w:eastAsia="de-AT"/>
        </w:rPr>
        <w:t>gerecgelt</w:t>
      </w:r>
      <w:proofErr w:type="spellEnd"/>
      <w:r>
        <w:rPr>
          <w:rFonts w:ascii="CG Times (W1)" w:hAnsi="CG Times (W1)"/>
          <w:lang w:eastAsia="de-AT"/>
        </w:rPr>
        <w:t xml:space="preserve">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Gas: keine </w:t>
      </w:r>
      <w:proofErr w:type="spellStart"/>
      <w:r>
        <w:rPr>
          <w:rFonts w:ascii="CG Times (W1)" w:hAnsi="CG Times (W1)"/>
          <w:lang w:eastAsia="de-AT"/>
        </w:rPr>
        <w:t>Einführungsverordunng</w:t>
      </w:r>
      <w:proofErr w:type="spellEnd"/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Pr="00426ABD" w:rsidRDefault="00C52020" w:rsidP="00C52020">
      <w:pPr>
        <w:rPr>
          <w:rFonts w:ascii="CG Times (W1)" w:hAnsi="CG Times (W1)"/>
          <w:lang w:eastAsia="de-AT"/>
        </w:rPr>
      </w:pP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 xml:space="preserve">Und Kontaktaufnahme mit Energieversorgern.  (Salzburg AG, </w:t>
      </w: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>Ergibt: fachlich keine Erweiterungen da die momentan abstellbaren Werte ausreichen.</w:t>
      </w:r>
    </w:p>
    <w:p w:rsidR="007312CC" w:rsidRDefault="00E83EB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 festlegen</w:t>
      </w:r>
    </w:p>
    <w:p w:rsidR="00C52020" w:rsidRDefault="00C52020"/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Default="0053748A">
      <w:bookmarkStart w:id="0" w:name="_GoBack"/>
      <w:bookmarkEnd w:id="0"/>
    </w:p>
    <w:sectPr w:rsidR="0053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27092D"/>
    <w:rsid w:val="0028489E"/>
    <w:rsid w:val="002B29A5"/>
    <w:rsid w:val="003A408E"/>
    <w:rsid w:val="00426ABD"/>
    <w:rsid w:val="00431951"/>
    <w:rsid w:val="00461603"/>
    <w:rsid w:val="005302C3"/>
    <w:rsid w:val="0053748A"/>
    <w:rsid w:val="00594D5B"/>
    <w:rsid w:val="007312CC"/>
    <w:rsid w:val="0084530C"/>
    <w:rsid w:val="008967C4"/>
    <w:rsid w:val="009F0507"/>
    <w:rsid w:val="00A1538C"/>
    <w:rsid w:val="00A701B9"/>
    <w:rsid w:val="00AE500B"/>
    <w:rsid w:val="00BD311D"/>
    <w:rsid w:val="00C52020"/>
    <w:rsid w:val="00D3486B"/>
    <w:rsid w:val="00D87EDD"/>
    <w:rsid w:val="00E83EB1"/>
    <w:rsid w:val="00E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B2D"/>
  <w15:chartTrackingRefBased/>
  <w15:docId w15:val="{9BB5ABF1-FF67-4204-B0B9-F1F71B88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ur-ws.org/Vol-1558/paper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11</cp:revision>
  <dcterms:created xsi:type="dcterms:W3CDTF">2017-02-06T16:57:00Z</dcterms:created>
  <dcterms:modified xsi:type="dcterms:W3CDTF">2017-02-08T09:49:00Z</dcterms:modified>
</cp:coreProperties>
</file>