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3E" w:rsidRDefault="00922A3E" w:rsidP="00922A3E">
      <w:pPr>
        <w:jc w:val="center"/>
        <w:rPr>
          <w:sz w:val="48"/>
          <w:szCs w:val="48"/>
        </w:rPr>
      </w:pPr>
      <w:r>
        <w:rPr>
          <w:sz w:val="48"/>
          <w:szCs w:val="48"/>
        </w:rPr>
        <w:t xml:space="preserve">Flexibility offerings </w:t>
      </w:r>
    </w:p>
    <w:p w:rsidR="00922A3E" w:rsidRDefault="00922A3E" w:rsidP="00922A3E">
      <w:pPr>
        <w:jc w:val="center"/>
      </w:pPr>
    </w:p>
    <w:p w:rsidR="00922A3E" w:rsidRDefault="00922A3E" w:rsidP="00922A3E">
      <w:pPr>
        <w:jc w:val="center"/>
      </w:pPr>
    </w:p>
    <w:p w:rsidR="00922A3E" w:rsidRDefault="00922A3E" w:rsidP="00922A3E">
      <w:pPr>
        <w:jc w:val="center"/>
      </w:pPr>
    </w:p>
    <w:p w:rsidR="00922A3E" w:rsidRDefault="00922A3E" w:rsidP="00922A3E"/>
    <w:p w:rsidR="00922A3E" w:rsidRDefault="00922A3E" w:rsidP="00922A3E">
      <w:r>
        <w:t xml:space="preserve">Link to explanations, examples and the selection list for indicated fields, please refer to document "Use Case Description draft ver0.55" </w:t>
      </w:r>
    </w:p>
    <w:p w:rsidR="00922A3E" w:rsidRDefault="00614E7E" w:rsidP="00922A3E">
      <w:hyperlink r:id="rId6" w:history="1">
        <w:r w:rsidR="00922A3E">
          <w:rPr>
            <w:rStyle w:val="Hyperlink"/>
          </w:rPr>
          <w:t xml:space="preserve">http://www.cen.eu/cen/Sectors/Sectors/UtilitiesAndEnergy/SmartGrids/Pages/default.aspx </w:t>
        </w:r>
      </w:hyperlink>
    </w:p>
    <w:p w:rsidR="00922A3E" w:rsidRDefault="00922A3E" w:rsidP="00922A3E"/>
    <w:p w:rsidR="00922A3E" w:rsidRDefault="00922A3E" w:rsidP="00922A3E">
      <w:r>
        <w:t xml:space="preserve">Version of Template: 0.55, Sept 2011 </w:t>
      </w:r>
    </w:p>
    <w:p w:rsidR="00922A3E" w:rsidRDefault="00922A3E" w:rsidP="00922A3E"/>
    <w:p w:rsidR="00922A3E" w:rsidRDefault="00922A3E" w:rsidP="00922A3E"/>
    <w:p w:rsidR="00922A3E" w:rsidRDefault="00922A3E" w:rsidP="00922A3E"/>
    <w:p w:rsidR="00922A3E" w:rsidRDefault="00922A3E" w:rsidP="00922A3E">
      <w:pPr>
        <w:pStyle w:val="berschrift1"/>
        <w:numPr>
          <w:ilvl w:val="0"/>
          <w:numId w:val="1"/>
        </w:numPr>
      </w:pPr>
      <w:r>
        <w:t>Description of the Use Case</w:t>
      </w:r>
    </w:p>
    <w:p w:rsidR="00922A3E" w:rsidRDefault="00922A3E" w:rsidP="00922A3E">
      <w:pPr>
        <w:pStyle w:val="AMD-Heading2"/>
        <w:numPr>
          <w:ilvl w:val="1"/>
          <w:numId w:val="1"/>
        </w:numPr>
        <w:tabs>
          <w:tab w:val="clear" w:pos="0"/>
          <w:tab w:val="left" w:pos="728"/>
        </w:tabs>
        <w:ind w:left="926" w:hanging="926"/>
        <w:rPr>
          <w:i/>
        </w:rPr>
      </w:pPr>
      <w:r>
        <w:rPr>
          <w:i/>
        </w:rPr>
        <w:t>General</w:t>
      </w:r>
    </w:p>
    <w:p w:rsidR="00922A3E" w:rsidRDefault="00922A3E" w:rsidP="00922A3E">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922A3E" w:rsidTr="00E46995">
        <w:trPr>
          <w:trHeight w:val="215"/>
        </w:trPr>
        <w:tc>
          <w:tcPr>
            <w:tcW w:w="649"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922A3E" w:rsidRDefault="00922A3E"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922A3E" w:rsidTr="00E46995">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color w:val="000080"/>
                <w:lang w:val="en-GB"/>
              </w:rPr>
            </w:pPr>
            <w:r>
              <w:rPr>
                <w:color w:val="000080"/>
                <w:lang w:val="en-GB"/>
              </w:rPr>
              <w:t xml:space="preserve">WGSP 2128 </w:t>
            </w:r>
          </w:p>
        </w:tc>
        <w:tc>
          <w:tcPr>
            <w:tcW w:w="1965" w:type="dxa"/>
            <w:tcBorders>
              <w:top w:val="single" w:sz="4" w:space="0" w:color="000000"/>
              <w:left w:val="single" w:sz="4" w:space="0" w:color="000000"/>
              <w:bottom w:val="single" w:sz="4" w:space="0" w:color="000000"/>
            </w:tcBorders>
            <w:shd w:val="clear" w:color="auto" w:fill="E6E6E6"/>
          </w:tcPr>
          <w:p w:rsidR="00922A3E" w:rsidRDefault="00922A3E" w:rsidP="00E46995">
            <w:pPr>
              <w:snapToGrid w:val="0"/>
              <w:rPr>
                <w:lang w:val="en-GB"/>
              </w:rPr>
            </w:pPr>
            <w:r>
              <w:rPr>
                <w:lang w:val="en-GB"/>
              </w:rPr>
              <w:t xml:space="preserve">Smart Home/Commercial/Industrial/DR-Customer EMS </w:t>
            </w:r>
          </w:p>
        </w:tc>
        <w:tc>
          <w:tcPr>
            <w:tcW w:w="4874"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lang w:val="en-GB"/>
              </w:rPr>
            </w:pPr>
            <w:r>
              <w:rPr>
                <w:lang w:val="en-GB"/>
              </w:rPr>
              <w:t xml:space="preserve">High level use case - Flexibility offerings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922A3E" w:rsidRDefault="00922A3E" w:rsidP="00E46995">
            <w:pPr>
              <w:snapToGrid w:val="0"/>
              <w:rPr>
                <w:lang w:val="en-GB"/>
              </w:rPr>
            </w:pPr>
            <w:r>
              <w:rPr>
                <w:lang w:val="en-GB"/>
              </w:rPr>
              <w:t xml:space="preserve">High-level Use Case </w:t>
            </w:r>
          </w:p>
        </w:tc>
      </w:tr>
    </w:tbl>
    <w:p w:rsidR="00922A3E" w:rsidRDefault="00922A3E" w:rsidP="00922A3E">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922A3E" w:rsidTr="00E46995">
        <w:tc>
          <w:tcPr>
            <w:tcW w:w="1352"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922A3E" w:rsidRDefault="00922A3E"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922A3E"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color w:val="000080"/>
                <w:sz w:val="16"/>
                <w:szCs w:val="16"/>
                <w:lang w:val="en-GB"/>
              </w:rPr>
            </w:pPr>
            <w:r>
              <w:rPr>
                <w:color w:val="000080"/>
                <w:sz w:val="16"/>
                <w:szCs w:val="16"/>
                <w:lang w:val="en-GB"/>
              </w:rPr>
              <w:t xml:space="preserve">0.2 </w:t>
            </w:r>
          </w:p>
        </w:tc>
        <w:tc>
          <w:tcPr>
            <w:tcW w:w="624"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 xml:space="preserve">30/07/2012 </w:t>
            </w:r>
          </w:p>
        </w:tc>
        <w:tc>
          <w:tcPr>
            <w:tcW w:w="2288"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 xml:space="preserve">ESMIG - Willem </w:t>
            </w:r>
            <w:proofErr w:type="spellStart"/>
            <w:r>
              <w:rPr>
                <w:sz w:val="16"/>
                <w:szCs w:val="16"/>
                <w:lang w:val="en-GB"/>
              </w:rPr>
              <w:t>Strabbing</w:t>
            </w:r>
            <w:proofErr w:type="spellEnd"/>
            <w:r>
              <w:rPr>
                <w:sz w:val="16"/>
                <w:szCs w:val="16"/>
                <w:lang w:val="en-GB"/>
              </w:rPr>
              <w:t xml:space="preserve"> &amp;Tim </w:t>
            </w:r>
            <w:proofErr w:type="spellStart"/>
            <w:r>
              <w:rPr>
                <w:sz w:val="16"/>
                <w:szCs w:val="16"/>
                <w:lang w:val="en-GB"/>
              </w:rPr>
              <w:t>Sablon</w:t>
            </w:r>
            <w:proofErr w:type="spellEnd"/>
            <w:r>
              <w:rPr>
                <w:sz w:val="16"/>
                <w:szCs w:val="16"/>
                <w:lang w:val="en-GB"/>
              </w:rPr>
              <w:t xml:space="preserve"> </w:t>
            </w:r>
          </w:p>
        </w:tc>
        <w:tc>
          <w:tcPr>
            <w:tcW w:w="1144" w:type="dxa"/>
            <w:tcBorders>
              <w:top w:val="single" w:sz="4" w:space="0" w:color="000000"/>
              <w:left w:val="single" w:sz="4" w:space="0" w:color="000000"/>
              <w:bottom w:val="single" w:sz="4" w:space="0" w:color="000000"/>
            </w:tcBorders>
            <w:shd w:val="clear" w:color="auto" w:fill="E6E6E6"/>
          </w:tcPr>
          <w:p w:rsidR="00922A3E" w:rsidRDefault="00922A3E" w:rsidP="00E46995">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922A3E" w:rsidRDefault="00922A3E" w:rsidP="00E46995">
            <w:pPr>
              <w:snapToGrid w:val="0"/>
              <w:rPr>
                <w:sz w:val="16"/>
                <w:szCs w:val="16"/>
                <w:lang w:val="en-GB"/>
              </w:rPr>
            </w:pPr>
            <w:r>
              <w:rPr>
                <w:sz w:val="16"/>
                <w:szCs w:val="16"/>
                <w:lang w:val="en-GB"/>
              </w:rPr>
              <w:t xml:space="preserve">AMI </w:t>
            </w:r>
          </w:p>
        </w:tc>
        <w:tc>
          <w:tcPr>
            <w:tcW w:w="1456"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922A3E" w:rsidRDefault="00922A3E" w:rsidP="00E46995">
            <w:pPr>
              <w:snapToGrid w:val="0"/>
              <w:rPr>
                <w:sz w:val="16"/>
                <w:szCs w:val="16"/>
                <w:lang w:val="en-GB"/>
              </w:rPr>
            </w:pPr>
            <w:r>
              <w:rPr>
                <w:sz w:val="16"/>
                <w:szCs w:val="16"/>
                <w:lang w:val="en-GB"/>
              </w:rPr>
              <w:t xml:space="preserve">Proposed </w:t>
            </w:r>
          </w:p>
        </w:tc>
      </w:tr>
      <w:tr w:rsidR="00922A3E"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color w:val="000080"/>
                <w:sz w:val="16"/>
                <w:szCs w:val="16"/>
                <w:lang w:val="en-GB"/>
              </w:rPr>
            </w:pPr>
            <w:r>
              <w:rPr>
                <w:color w:val="000080"/>
                <w:sz w:val="16"/>
                <w:szCs w:val="16"/>
                <w:lang w:val="en-GB"/>
              </w:rPr>
              <w:t xml:space="preserve">0.5 </w:t>
            </w:r>
          </w:p>
        </w:tc>
        <w:tc>
          <w:tcPr>
            <w:tcW w:w="624"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 xml:space="preserve">12/11/2012 </w:t>
            </w:r>
          </w:p>
        </w:tc>
        <w:tc>
          <w:tcPr>
            <w:tcW w:w="2288"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 xml:space="preserve">ESMIG - Willem </w:t>
            </w:r>
            <w:proofErr w:type="spellStart"/>
            <w:r>
              <w:rPr>
                <w:sz w:val="16"/>
                <w:szCs w:val="16"/>
                <w:lang w:val="en-GB"/>
              </w:rPr>
              <w:t>Strabbing</w:t>
            </w:r>
            <w:proofErr w:type="spellEnd"/>
            <w:r>
              <w:rPr>
                <w:sz w:val="16"/>
                <w:szCs w:val="16"/>
                <w:lang w:val="en-GB"/>
              </w:rPr>
              <w:t xml:space="preserve"> &amp;Tim </w:t>
            </w:r>
            <w:proofErr w:type="spellStart"/>
            <w:r>
              <w:rPr>
                <w:sz w:val="16"/>
                <w:szCs w:val="16"/>
                <w:lang w:val="en-GB"/>
              </w:rPr>
              <w:t>Sablon</w:t>
            </w:r>
            <w:proofErr w:type="spellEnd"/>
            <w:r>
              <w:rPr>
                <w:sz w:val="16"/>
                <w:szCs w:val="16"/>
                <w:lang w:val="en-GB"/>
              </w:rPr>
              <w:t xml:space="preserve"> </w:t>
            </w:r>
          </w:p>
        </w:tc>
        <w:tc>
          <w:tcPr>
            <w:tcW w:w="1144" w:type="dxa"/>
            <w:tcBorders>
              <w:top w:val="single" w:sz="4" w:space="0" w:color="000000"/>
              <w:left w:val="single" w:sz="4" w:space="0" w:color="000000"/>
              <w:bottom w:val="single" w:sz="4" w:space="0" w:color="000000"/>
            </w:tcBorders>
            <w:shd w:val="clear" w:color="auto" w:fill="E6E6E6"/>
          </w:tcPr>
          <w:p w:rsidR="00922A3E" w:rsidRDefault="00922A3E" w:rsidP="00E46995">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922A3E" w:rsidRDefault="00922A3E" w:rsidP="00E46995">
            <w:pPr>
              <w:snapToGrid w:val="0"/>
              <w:rPr>
                <w:sz w:val="16"/>
                <w:szCs w:val="16"/>
                <w:lang w:val="en-GB"/>
              </w:rPr>
            </w:pPr>
            <w:r>
              <w:rPr>
                <w:sz w:val="16"/>
                <w:szCs w:val="16"/>
                <w:lang w:val="en-GB"/>
              </w:rPr>
              <w:t xml:space="preserve">AMI </w:t>
            </w:r>
          </w:p>
        </w:tc>
        <w:tc>
          <w:tcPr>
            <w:tcW w:w="1456"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922A3E" w:rsidRDefault="00922A3E" w:rsidP="00E46995">
            <w:pPr>
              <w:snapToGrid w:val="0"/>
              <w:rPr>
                <w:sz w:val="16"/>
                <w:szCs w:val="16"/>
                <w:lang w:val="en-GB"/>
              </w:rPr>
            </w:pPr>
            <w:r>
              <w:rPr>
                <w:sz w:val="16"/>
                <w:szCs w:val="16"/>
                <w:lang w:val="en-GB"/>
              </w:rPr>
              <w:t xml:space="preserve">Validated </w:t>
            </w:r>
          </w:p>
        </w:tc>
      </w:tr>
    </w:tbl>
    <w:p w:rsidR="00922A3E" w:rsidRDefault="00922A3E" w:rsidP="00922A3E">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922A3E" w:rsidTr="00E46995">
        <w:tc>
          <w:tcPr>
            <w:tcW w:w="4874"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922A3E" w:rsidTr="00E46995">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color w:val="000080"/>
                <w:sz w:val="16"/>
                <w:szCs w:val="16"/>
                <w:lang w:val="en-GB"/>
              </w:rPr>
            </w:pPr>
            <w:r>
              <w:rPr>
                <w:color w:val="000080"/>
                <w:sz w:val="16"/>
                <w:szCs w:val="16"/>
                <w:lang w:val="en-GB"/>
              </w:rPr>
              <w:t>-</w:t>
            </w:r>
          </w:p>
        </w:tc>
        <w:tc>
          <w:tcPr>
            <w:tcW w:w="2273"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r>
    </w:tbl>
    <w:p w:rsidR="00922A3E" w:rsidRDefault="00922A3E" w:rsidP="00922A3E">
      <w:pPr>
        <w:rPr>
          <w:lang w:val="en-GB"/>
        </w:rPr>
      </w:pPr>
    </w:p>
    <w:tbl>
      <w:tblPr>
        <w:tblW w:w="0" w:type="auto"/>
        <w:tblInd w:w="108" w:type="dxa"/>
        <w:tblLayout w:type="fixed"/>
        <w:tblLook w:val="0000" w:firstRow="0" w:lastRow="0" w:firstColumn="0" w:lastColumn="0" w:noHBand="0" w:noVBand="0"/>
      </w:tblPr>
      <w:tblGrid>
        <w:gridCol w:w="4535"/>
        <w:gridCol w:w="4523"/>
      </w:tblGrid>
      <w:tr w:rsidR="00922A3E" w:rsidTr="00E46995">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pPr>
            <w:r>
              <w:rPr>
                <w:rFonts w:ascii="Arial Narrow" w:hAnsi="Arial Narrow" w:cs="Arial Narrow"/>
                <w:b/>
                <w:bCs/>
                <w:i/>
                <w:iCs/>
                <w:color w:val="000080"/>
                <w:sz w:val="19"/>
                <w:szCs w:val="19"/>
                <w:lang w:val="en-GB"/>
              </w:rPr>
              <w:t>Relation to Higher Level Use Case</w:t>
            </w:r>
            <w:r>
              <w:t xml:space="preserve"> </w:t>
            </w:r>
          </w:p>
        </w:tc>
      </w:tr>
      <w:tr w:rsidR="00922A3E" w:rsidTr="00E46995">
        <w:tc>
          <w:tcPr>
            <w:tcW w:w="4535"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922A3E" w:rsidTr="00E46995">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922A3E" w:rsidRDefault="00922A3E" w:rsidP="00E46995">
            <w:pPr>
              <w:snapToGrid w:val="0"/>
              <w:rPr>
                <w:color w:val="000080"/>
                <w:sz w:val="16"/>
                <w:szCs w:val="16"/>
                <w:lang w:val="en-GB"/>
              </w:rPr>
            </w:pPr>
            <w:r>
              <w:rPr>
                <w:color w:val="000080"/>
                <w:sz w:val="16"/>
                <w:szCs w:val="16"/>
                <w:lang w:val="en-GB"/>
              </w:rPr>
              <w:t>-</w:t>
            </w:r>
          </w:p>
        </w:tc>
        <w:tc>
          <w:tcPr>
            <w:tcW w:w="4523" w:type="dxa"/>
            <w:tcBorders>
              <w:top w:val="single" w:sz="4" w:space="0" w:color="000000"/>
              <w:bottom w:val="single" w:sz="4" w:space="0" w:color="000000"/>
              <w:right w:val="single" w:sz="4" w:space="0" w:color="000000"/>
            </w:tcBorders>
            <w:shd w:val="clear" w:color="auto" w:fill="E6E6E6"/>
          </w:tcPr>
          <w:p w:rsidR="00922A3E" w:rsidRDefault="00922A3E" w:rsidP="00E46995">
            <w:pPr>
              <w:snapToGrid w:val="0"/>
              <w:rPr>
                <w:sz w:val="16"/>
                <w:szCs w:val="16"/>
                <w:lang w:val="en-GB"/>
              </w:rPr>
            </w:pPr>
            <w:r>
              <w:rPr>
                <w:sz w:val="16"/>
                <w:szCs w:val="16"/>
                <w:lang w:val="en-GB"/>
              </w:rPr>
              <w:t>-</w:t>
            </w:r>
          </w:p>
        </w:tc>
      </w:tr>
    </w:tbl>
    <w:p w:rsidR="00922A3E" w:rsidRDefault="00922A3E" w:rsidP="00922A3E">
      <w:pPr>
        <w:rPr>
          <w:lang w:val="en-GB"/>
        </w:rPr>
      </w:pPr>
    </w:p>
    <w:tbl>
      <w:tblPr>
        <w:tblW w:w="0" w:type="auto"/>
        <w:tblInd w:w="108" w:type="dxa"/>
        <w:tblLayout w:type="fixed"/>
        <w:tblLook w:val="0000" w:firstRow="0" w:lastRow="0" w:firstColumn="0" w:lastColumn="0" w:noHBand="0" w:noVBand="0"/>
      </w:tblPr>
      <w:tblGrid>
        <w:gridCol w:w="9058"/>
      </w:tblGrid>
      <w:tr w:rsidR="00922A3E"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922A3E"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922A3E" w:rsidRDefault="00922A3E" w:rsidP="00E46995">
            <w:pPr>
              <w:snapToGrid w:val="0"/>
              <w:rPr>
                <w:color w:val="000080"/>
                <w:sz w:val="16"/>
                <w:szCs w:val="16"/>
                <w:lang w:val="en-GB"/>
              </w:rPr>
            </w:pPr>
            <w:r>
              <w:rPr>
                <w:color w:val="000080"/>
                <w:sz w:val="16"/>
                <w:szCs w:val="16"/>
                <w:lang w:val="en-GB"/>
              </w:rPr>
              <w:t xml:space="preserve">- </w:t>
            </w:r>
          </w:p>
        </w:tc>
      </w:tr>
      <w:tr w:rsidR="00922A3E"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922A3E"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922A3E" w:rsidRDefault="00922A3E" w:rsidP="00E46995">
            <w:pPr>
              <w:snapToGrid w:val="0"/>
              <w:rPr>
                <w:color w:val="000080"/>
                <w:sz w:val="16"/>
                <w:szCs w:val="16"/>
                <w:lang w:val="en-GB"/>
              </w:rPr>
            </w:pPr>
            <w:r>
              <w:rPr>
                <w:color w:val="000080"/>
                <w:sz w:val="16"/>
                <w:szCs w:val="16"/>
                <w:lang w:val="en-GB"/>
              </w:rPr>
              <w:t xml:space="preserve">- </w:t>
            </w:r>
          </w:p>
        </w:tc>
      </w:tr>
      <w:tr w:rsidR="00922A3E"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Generic, Regional or National Relation</w:t>
            </w:r>
          </w:p>
        </w:tc>
      </w:tr>
      <w:tr w:rsidR="00922A3E"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922A3E" w:rsidRDefault="00922A3E" w:rsidP="00E46995">
            <w:pPr>
              <w:snapToGrid w:val="0"/>
              <w:rPr>
                <w:color w:val="000080"/>
                <w:sz w:val="16"/>
                <w:szCs w:val="16"/>
                <w:lang w:val="en-GB"/>
              </w:rPr>
            </w:pPr>
            <w:r>
              <w:rPr>
                <w:color w:val="000080"/>
                <w:sz w:val="16"/>
                <w:szCs w:val="16"/>
                <w:lang w:val="en-GB"/>
              </w:rPr>
              <w:t xml:space="preserve">Generic </w:t>
            </w:r>
          </w:p>
        </w:tc>
      </w:tr>
      <w:tr w:rsidR="00922A3E"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922A3E"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922A3E" w:rsidRDefault="00922A3E" w:rsidP="00E46995">
            <w:pPr>
              <w:snapToGrid w:val="0"/>
              <w:rPr>
                <w:color w:val="000080"/>
                <w:sz w:val="16"/>
                <w:szCs w:val="16"/>
                <w:lang w:val="en-GB"/>
              </w:rPr>
            </w:pPr>
            <w:r>
              <w:rPr>
                <w:color w:val="000080"/>
                <w:sz w:val="16"/>
                <w:szCs w:val="16"/>
                <w:lang w:val="en-GB"/>
              </w:rPr>
              <w:t xml:space="preserve">Technical </w:t>
            </w:r>
          </w:p>
        </w:tc>
      </w:tr>
      <w:tr w:rsidR="00922A3E"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922A3E"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922A3E" w:rsidRDefault="00922A3E" w:rsidP="00E46995">
            <w:pPr>
              <w:snapToGrid w:val="0"/>
              <w:rPr>
                <w:color w:val="000080"/>
                <w:sz w:val="16"/>
                <w:szCs w:val="16"/>
                <w:lang w:val="en-GB"/>
              </w:rPr>
            </w:pPr>
            <w:r>
              <w:rPr>
                <w:color w:val="000080"/>
                <w:sz w:val="16"/>
                <w:szCs w:val="16"/>
                <w:lang w:val="en-GB"/>
              </w:rPr>
              <w:t xml:space="preserve">- </w:t>
            </w:r>
          </w:p>
        </w:tc>
      </w:tr>
    </w:tbl>
    <w:p w:rsidR="00922A3E" w:rsidRDefault="00922A3E" w:rsidP="00922A3E">
      <w:pPr>
        <w:rPr>
          <w:b/>
          <w:lang w:val="en-GB"/>
        </w:rPr>
      </w:pPr>
    </w:p>
    <w:p w:rsidR="00922A3E" w:rsidRDefault="00922A3E" w:rsidP="00922A3E">
      <w:pPr>
        <w:pStyle w:val="AMD-Heading2"/>
        <w:numPr>
          <w:ilvl w:val="1"/>
          <w:numId w:val="4"/>
        </w:numPr>
        <w:tabs>
          <w:tab w:val="clear" w:pos="0"/>
          <w:tab w:val="left" w:pos="728"/>
        </w:tabs>
        <w:ind w:left="926" w:hanging="926"/>
        <w:rPr>
          <w:i/>
        </w:rPr>
      </w:pPr>
      <w:r>
        <w:rPr>
          <w:i/>
        </w:rPr>
        <w:t>Scope and Objectives of Use Case</w:t>
      </w:r>
    </w:p>
    <w:tbl>
      <w:tblPr>
        <w:tblW w:w="0" w:type="auto"/>
        <w:tblInd w:w="108" w:type="dxa"/>
        <w:tblLayout w:type="fixed"/>
        <w:tblLook w:val="0000" w:firstRow="0" w:lastRow="0" w:firstColumn="0" w:lastColumn="0" w:noHBand="0" w:noVBand="0"/>
      </w:tblPr>
      <w:tblGrid>
        <w:gridCol w:w="9058"/>
      </w:tblGrid>
      <w:tr w:rsidR="00922A3E" w:rsidTr="00E46995">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922A3E"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922A3E" w:rsidRPr="00BA56D8" w:rsidRDefault="00922A3E" w:rsidP="00E46995">
            <w:pPr>
              <w:snapToGrid w:val="0"/>
              <w:rPr>
                <w:color w:val="000080"/>
                <w:sz w:val="16"/>
                <w:szCs w:val="16"/>
              </w:rPr>
            </w:pPr>
            <w:r>
              <w:rPr>
                <w:color w:val="000080"/>
                <w:sz w:val="16"/>
                <w:szCs w:val="16"/>
                <w:lang w:val="en-GB"/>
              </w:rPr>
              <w:t xml:space="preserve"> </w:t>
            </w:r>
            <w:r w:rsidR="00BA56D8">
              <w:rPr>
                <w:u w:val="single"/>
              </w:rPr>
              <w:t>Related business case</w:t>
            </w:r>
            <w:r w:rsidR="00BA56D8">
              <w:br/>
            </w:r>
            <w:r w:rsidR="00BA56D8">
              <w:br/>
            </w:r>
            <w:r w:rsidR="00BA56D8">
              <w:lastRenderedPageBreak/>
              <w:t>The flexibility concept assumes that parties connected to the grid produce offerings of flexibility in load and (distributed) generation. Thereby, so-called flex-offers are issued indicating these power profile flexibilities, e.g. shifting in time or changing the energy amount. In the flex-offer approach, consumers and producers directly specify their demand and supply power profile flexibility in a fine-grained manner (household and SME level). Flex-offers are dynamically scheduled in near real-time, e.g. in case when the energy production from renewable energy sources, such as wind turbines, deviates from the forecasted production of the energy system.</w:t>
            </w:r>
            <w:r w:rsidR="00BA56D8">
              <w:br/>
            </w:r>
            <w:r w:rsidR="00BA56D8">
              <w:br/>
              <w:t>The use case introduces two conceptual roles</w:t>
            </w:r>
            <w:proofErr w:type="gramStart"/>
            <w:r w:rsidR="00BA56D8">
              <w:t>:</w:t>
            </w:r>
            <w:proofErr w:type="gramEnd"/>
            <w:r w:rsidR="00BA56D8">
              <w:br/>
              <w:t>• Flexibility provider (role taken by e.g. parties connected to the grid with flexibility in production, consumption and/or storage of electricity). Relating this role to the functional architecture described below, this role is taken up by the CEMS, which identifies potential flexibilities of connected devices (appliances / generators / storage), calculates and sends a flexibility offering, keeping in mind constraints and preferences set by the end-user.</w:t>
            </w:r>
            <w:r w:rsidR="00BA56D8">
              <w:br/>
              <w:t xml:space="preserve">•   Flexibility acquirer (role taken by e.g. suppliers or other parties which have a use for acquiring flexibility in supply / demand, e.g. integration of wind into their portfolio). Relating this role to the functional architecture described below, this role is taken up by Actor A and/or Actor B </w:t>
            </w:r>
            <w:r w:rsidR="00BA56D8">
              <w:br/>
              <w:t> </w:t>
            </w:r>
            <w:r w:rsidR="00BA56D8">
              <w:br/>
            </w:r>
            <w:r w:rsidR="00BA56D8">
              <w:br/>
            </w:r>
            <w:r w:rsidR="00BA56D8">
              <w:rPr>
                <w:u w:val="single"/>
              </w:rPr>
              <w:t>Scope</w:t>
            </w:r>
            <w:r w:rsidR="00BA56D8">
              <w:br/>
              <w:t xml:space="preserve">The scope of this use case is the communication between the CEM and "upstream" actors. The communication between CEM, the consumer and (in-home) smart devices is officially not in this scope of this report, but will be included in the Use Case description for the sake of clarity. Smart devices cover also smart appliances, generators and storage (see table with actors). </w:t>
            </w:r>
            <w:r w:rsidR="00BA56D8">
              <w:br/>
            </w:r>
            <w:r w:rsidR="00BA56D8">
              <w:br/>
              <w:t xml:space="preserve">When the consumer has a price dependent energy tariff and/or a time dependent distribution tariff, price based demand response is enabled by creating an incentive for load management by consumers or a CEM in response to price changes (RTP, CPP, </w:t>
            </w:r>
            <w:proofErr w:type="spellStart"/>
            <w:r w:rsidR="00BA56D8">
              <w:t>ToU</w:t>
            </w:r>
            <w:proofErr w:type="spellEnd"/>
            <w:r w:rsidR="00BA56D8">
              <w:t>). Note that multiple loads/generation resources (even from multiple premises) can be combined in the CEM to be mutually controlled.</w:t>
            </w:r>
            <w:r w:rsidR="00BA56D8">
              <w:br/>
            </w:r>
            <w:r w:rsidR="00BA56D8">
              <w:br/>
              <w:t>From an architectural point of view the Smart Grid Coordination Group introduced the "Smart Grid Connection Point" (SGCP) entity as an interface between Smart Grid actors (applications and/or organizations) and in-home/building systems or devices. See the WGSP report (chapter 6.2) for further details.</w:t>
            </w:r>
            <w:r w:rsidR="00BA56D8">
              <w:br/>
            </w:r>
            <w:r w:rsidR="00BA56D8">
              <w:br/>
            </w:r>
            <w:r w:rsidR="00BA56D8">
              <w:rPr>
                <w:u w:val="single"/>
              </w:rPr>
              <w:t>Objectives</w:t>
            </w:r>
            <w:r w:rsidR="00BA56D8">
              <w:br/>
            </w:r>
            <w:r w:rsidR="00BA56D8">
              <w:br/>
              <w:t>Exchange of offerings of the use of flexibility in supply and demand with another party, negotiation of these offerings and activation</w:t>
            </w:r>
            <w:r w:rsidR="00BA56D8">
              <w:br/>
            </w:r>
            <w:r w:rsidR="00BA56D8">
              <w:br/>
            </w:r>
          </w:p>
        </w:tc>
      </w:tr>
    </w:tbl>
    <w:p w:rsidR="00922A3E" w:rsidRDefault="00922A3E" w:rsidP="00922A3E">
      <w:pPr>
        <w:rPr>
          <w:b/>
          <w:lang w:val="en-GB"/>
        </w:rPr>
      </w:pPr>
    </w:p>
    <w:p w:rsidR="00922A3E" w:rsidRDefault="00922A3E" w:rsidP="00922A3E">
      <w:pPr>
        <w:pStyle w:val="AMD-Heading2"/>
        <w:numPr>
          <w:ilvl w:val="1"/>
          <w:numId w:val="5"/>
        </w:numPr>
        <w:tabs>
          <w:tab w:val="clear" w:pos="0"/>
          <w:tab w:val="left" w:pos="728"/>
        </w:tabs>
        <w:ind w:left="926" w:hanging="926"/>
        <w:rPr>
          <w:i/>
        </w:rPr>
      </w:pPr>
      <w:r>
        <w:rPr>
          <w:i/>
        </w:rPr>
        <w:t>Narrative of Use Case</w:t>
      </w:r>
    </w:p>
    <w:tbl>
      <w:tblPr>
        <w:tblW w:w="0" w:type="auto"/>
        <w:tblInd w:w="108" w:type="dxa"/>
        <w:tblLayout w:type="fixed"/>
        <w:tblLook w:val="0000" w:firstRow="0" w:lastRow="0" w:firstColumn="0" w:lastColumn="0" w:noHBand="0" w:noVBand="0"/>
      </w:tblPr>
      <w:tblGrid>
        <w:gridCol w:w="9058"/>
      </w:tblGrid>
      <w:tr w:rsidR="00922A3E"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922A3E"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922A3E"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922A3E" w:rsidRDefault="00922A3E" w:rsidP="00E46995">
            <w:pPr>
              <w:snapToGrid w:val="0"/>
              <w:rPr>
                <w:color w:val="000080"/>
                <w:sz w:val="16"/>
                <w:szCs w:val="16"/>
                <w:lang w:val="en-GB"/>
              </w:rPr>
            </w:pPr>
            <w:r>
              <w:rPr>
                <w:color w:val="000080"/>
                <w:sz w:val="16"/>
                <w:szCs w:val="16"/>
                <w:lang w:val="en-GB"/>
              </w:rPr>
              <w:t xml:space="preserve">Flexibility offerings are sent from flexibility providers to one or more (potential) users of flexibility. These offerings are negotiated and if successful exercised by the acquiring party. The offerings state the available flexibility in the dimensions of time, power/energy and finance. </w:t>
            </w:r>
            <w:r>
              <w:rPr>
                <w:color w:val="000080"/>
                <w:sz w:val="16"/>
                <w:szCs w:val="16"/>
                <w:lang w:val="en-GB"/>
              </w:rPr>
              <w:br/>
              <w:t xml:space="preserve"> </w:t>
            </w:r>
          </w:p>
        </w:tc>
      </w:tr>
      <w:tr w:rsidR="00922A3E"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922A3E"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614E7E" w:rsidRPr="00614E7E" w:rsidRDefault="00614E7E" w:rsidP="00614E7E">
            <w:pPr>
              <w:snapToGrid w:val="0"/>
            </w:pPr>
            <w:r w:rsidRPr="00614E7E">
              <w:t>This use case describes how two market roles offer, accept and assign demand or generation flexibility.</w:t>
            </w:r>
            <w:bookmarkStart w:id="0" w:name="_GoBack"/>
            <w:bookmarkEnd w:id="0"/>
            <w:r w:rsidRPr="00614E7E">
              <w:br/>
            </w:r>
            <w:r w:rsidRPr="00614E7E">
              <w:br/>
              <w:t>The central concept of the approach is the flex-offer specification. Essentially, a flex-offer is a request for demand or supply of energy with specified flexibilities.</w:t>
            </w:r>
          </w:p>
          <w:p w:rsidR="00614E7E" w:rsidRPr="00614E7E" w:rsidRDefault="00614E7E" w:rsidP="00614E7E">
            <w:pPr>
              <w:snapToGrid w:val="0"/>
            </w:pPr>
            <w:r w:rsidRPr="00614E7E">
              <w:t xml:space="preserve">On the prosumer level and within its CEM, a flex-offer is bound to one or more devices consuming or producing electricity, e.g. a dishwasher, dryer, washing machine, swimming pool pump, electrical heating, heat pump device, charging of an electric vehicle, and combined generation of heat and power. </w:t>
            </w:r>
          </w:p>
          <w:p w:rsidR="00614E7E" w:rsidRPr="00614E7E" w:rsidRDefault="00614E7E" w:rsidP="00614E7E">
            <w:pPr>
              <w:snapToGrid w:val="0"/>
            </w:pPr>
            <w:r w:rsidRPr="00614E7E">
              <w:t xml:space="preserve">In this use case, we assume that flexibility offers are only created in the CEM. The end user can set constraints on the capability of the CEM to create flexibility offers. Constraints may be set on: </w:t>
            </w:r>
          </w:p>
          <w:p w:rsidR="00614E7E" w:rsidRPr="00614E7E" w:rsidRDefault="00614E7E" w:rsidP="00614E7E">
            <w:pPr>
              <w:snapToGrid w:val="0"/>
            </w:pPr>
            <w:r w:rsidRPr="00614E7E">
              <w:lastRenderedPageBreak/>
              <w:t>-       Which loads and user specified conditions are available for providing flexibility</w:t>
            </w:r>
          </w:p>
          <w:p w:rsidR="00614E7E" w:rsidRPr="00614E7E" w:rsidRDefault="00614E7E" w:rsidP="00614E7E">
            <w:pPr>
              <w:snapToGrid w:val="0"/>
            </w:pPr>
            <w:r w:rsidRPr="00614E7E">
              <w:t>-       Start time of the flexibility (start time within a certain time period)</w:t>
            </w:r>
          </w:p>
          <w:p w:rsidR="00614E7E" w:rsidRPr="00614E7E" w:rsidRDefault="00614E7E" w:rsidP="00614E7E">
            <w:pPr>
              <w:snapToGrid w:val="0"/>
            </w:pPr>
            <w:r w:rsidRPr="00614E7E">
              <w:t>-       Duration of the flexibility (d)</w:t>
            </w:r>
          </w:p>
          <w:p w:rsidR="00614E7E" w:rsidRPr="00614E7E" w:rsidRDefault="00614E7E" w:rsidP="00614E7E">
            <w:pPr>
              <w:snapToGrid w:val="0"/>
            </w:pPr>
            <w:r w:rsidRPr="00614E7E">
              <w:t>-       Amount of flexible power at a point in time (p)</w:t>
            </w:r>
          </w:p>
          <w:p w:rsidR="00614E7E" w:rsidRPr="00614E7E" w:rsidRDefault="00614E7E" w:rsidP="00614E7E">
            <w:pPr>
              <w:snapToGrid w:val="0"/>
            </w:pPr>
            <w:r w:rsidRPr="00614E7E">
              <w:t>-       Amount of flexible energy (e = d * p)</w:t>
            </w:r>
          </w:p>
          <w:p w:rsidR="00922A3E" w:rsidRDefault="00614E7E" w:rsidP="00614E7E">
            <w:pPr>
              <w:snapToGrid w:val="0"/>
              <w:rPr>
                <w:color w:val="000080"/>
                <w:sz w:val="16"/>
                <w:szCs w:val="16"/>
                <w:lang w:val="en-GB"/>
              </w:rPr>
            </w:pPr>
            <w:r w:rsidRPr="00614E7E">
              <w:t>Such constraints may be set by legal / contractual entities, for example to avoid clogging of the network there may be a regulatory constraint that flexibility offers may only be sent every x minutes or only if the offered flexibility exceeds a certain amount of energy</w:t>
            </w:r>
            <w:r w:rsidRPr="00614E7E">
              <w:br/>
            </w:r>
            <w:r w:rsidRPr="00614E7E">
              <w:br/>
              <w:t>Flexibility offerings are sent from flexibility providers to one or more (potential) users of flexibility. The offerings state the available flexibility in the dimensions of time (when can production / consumption take place) power and/or energy (what can be produced / consumed) and finance (in return for what compensation).</w:t>
            </w:r>
            <w:r w:rsidRPr="00614E7E">
              <w:br/>
            </w:r>
            <w:r w:rsidRPr="00614E7E">
              <w:br/>
              <w:t>These offerings are negotiated by a process of offering, accepting or rejecting, possibly followed by providing a different offering. Reasons for accepting and rejecting include suitability of the offered flexibility (the expected value of the flexibility in e.g. a portfolio) and financial aspects. Finally after successful negotiation, the acquired flexibility exercised by the acquiring party.</w:t>
            </w:r>
            <w:r w:rsidRPr="00614E7E">
              <w:br/>
              <w:t>Exercising an accepted offering is done by assigning the variables in the offering which define the flexibility, i.e. time, power/energy and finance.</w:t>
            </w:r>
            <w:r w:rsidRPr="00614E7E">
              <w:br/>
            </w:r>
            <w:r w:rsidR="00922A3E">
              <w:rPr>
                <w:color w:val="000080"/>
                <w:sz w:val="16"/>
                <w:szCs w:val="16"/>
                <w:lang w:val="en-GB"/>
              </w:rPr>
              <w:br/>
              <w:t xml:space="preserve"> </w:t>
            </w:r>
          </w:p>
        </w:tc>
      </w:tr>
    </w:tbl>
    <w:p w:rsidR="00922A3E" w:rsidRDefault="00922A3E" w:rsidP="00922A3E">
      <w:pPr>
        <w:autoSpaceDE w:val="0"/>
        <w:rPr>
          <w:lang w:val="en-GB"/>
        </w:rPr>
      </w:pPr>
    </w:p>
    <w:p w:rsidR="00922A3E" w:rsidRDefault="00922A3E" w:rsidP="00922A3E">
      <w:pPr>
        <w:pStyle w:val="AMD-Heading2"/>
        <w:numPr>
          <w:ilvl w:val="1"/>
          <w:numId w:val="6"/>
        </w:numPr>
        <w:tabs>
          <w:tab w:val="clear" w:pos="0"/>
          <w:tab w:val="left" w:pos="728"/>
        </w:tabs>
        <w:ind w:left="926" w:hanging="926"/>
        <w:rPr>
          <w:i/>
        </w:rPr>
      </w:pPr>
      <w:r>
        <w:rPr>
          <w:i/>
        </w:rPr>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922A3E" w:rsidTr="00E46995">
        <w:tc>
          <w:tcPr>
            <w:tcW w:w="2647"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922A3E"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922A3E" w:rsidRDefault="00922A3E" w:rsidP="00E46995">
            <w:pPr>
              <w:snapToGrid w:val="0"/>
              <w:rPr>
                <w:color w:val="000080"/>
                <w:sz w:val="16"/>
                <w:szCs w:val="16"/>
                <w:lang w:val="en-GB"/>
              </w:rPr>
            </w:pPr>
            <w:r>
              <w:rPr>
                <w:color w:val="000080"/>
                <w:sz w:val="16"/>
                <w:szCs w:val="16"/>
                <w:lang w:val="en-GB"/>
              </w:rPr>
              <w:t>-</w:t>
            </w:r>
          </w:p>
        </w:tc>
        <w:tc>
          <w:tcPr>
            <w:tcW w:w="2335" w:type="dxa"/>
            <w:tcBorders>
              <w:top w:val="single" w:sz="4" w:space="0" w:color="000000"/>
              <w:left w:val="single" w:sz="4" w:space="0" w:color="000000"/>
              <w:bottom w:val="single" w:sz="4" w:space="0" w:color="000000"/>
            </w:tcBorders>
            <w:shd w:val="clear" w:color="auto" w:fill="E6E6E6"/>
          </w:tcPr>
          <w:p w:rsidR="00922A3E" w:rsidRDefault="00922A3E" w:rsidP="00E46995">
            <w:pPr>
              <w:snapToGrid w:val="0"/>
              <w:rPr>
                <w:sz w:val="16"/>
                <w:szCs w:val="16"/>
                <w:lang w:val="en-GB"/>
              </w:rPr>
            </w:pPr>
            <w:r>
              <w:rPr>
                <w:sz w:val="16"/>
                <w:szCs w:val="16"/>
                <w:lang w:val="en-GB"/>
              </w:rPr>
              <w:t>-</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922A3E" w:rsidRDefault="00922A3E" w:rsidP="00E46995">
            <w:pPr>
              <w:snapToGrid w:val="0"/>
              <w:rPr>
                <w:sz w:val="16"/>
                <w:szCs w:val="16"/>
                <w:lang w:val="en-GB"/>
              </w:rPr>
            </w:pPr>
            <w:r>
              <w:rPr>
                <w:sz w:val="16"/>
                <w:szCs w:val="16"/>
                <w:lang w:val="en-GB"/>
              </w:rPr>
              <w:t>-</w:t>
            </w:r>
          </w:p>
        </w:tc>
      </w:tr>
    </w:tbl>
    <w:p w:rsidR="00922A3E" w:rsidRDefault="00922A3E" w:rsidP="00922A3E">
      <w:pPr>
        <w:autoSpaceDE w:val="0"/>
        <w:rPr>
          <w:rFonts w:ascii="Arial-BoldItalicMT" w:hAnsi="Arial-BoldItalicMT" w:cs="Arial-BoldItalicMT" w:hint="eastAsia"/>
          <w:b/>
          <w:bCs/>
          <w:i/>
          <w:iCs/>
          <w:sz w:val="19"/>
          <w:szCs w:val="19"/>
          <w:lang w:val="en-GB"/>
        </w:rPr>
      </w:pPr>
    </w:p>
    <w:p w:rsidR="00922A3E" w:rsidRDefault="00922A3E" w:rsidP="00922A3E">
      <w:pPr>
        <w:pStyle w:val="AMD-Heading2"/>
        <w:numPr>
          <w:ilvl w:val="1"/>
          <w:numId w:val="7"/>
        </w:numPr>
        <w:tabs>
          <w:tab w:val="clear" w:pos="0"/>
          <w:tab w:val="left" w:pos="728"/>
        </w:tabs>
        <w:ind w:left="926" w:hanging="926"/>
        <w:rPr>
          <w:i/>
        </w:rPr>
      </w:pPr>
      <w:r>
        <w:rPr>
          <w:i/>
        </w:rPr>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922A3E" w:rsidTr="00E46995">
        <w:tc>
          <w:tcPr>
            <w:tcW w:w="1594"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922A3E" w:rsidTr="00E46995">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color w:val="000080"/>
                <w:sz w:val="16"/>
                <w:szCs w:val="16"/>
                <w:lang w:val="en-GB"/>
              </w:rPr>
            </w:pPr>
            <w:r>
              <w:rPr>
                <w:color w:val="000080"/>
                <w:sz w:val="16"/>
                <w:szCs w:val="16"/>
                <w:lang w:val="en-GB"/>
              </w:rPr>
              <w:t>-</w:t>
            </w:r>
          </w:p>
        </w:tc>
        <w:tc>
          <w:tcPr>
            <w:tcW w:w="3823"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r>
    </w:tbl>
    <w:p w:rsidR="00922A3E" w:rsidRDefault="00922A3E" w:rsidP="00922A3E">
      <w:pPr>
        <w:autoSpaceDE w:val="0"/>
        <w:rPr>
          <w:rFonts w:ascii="Arial-BoldItalicMT" w:hAnsi="Arial-BoldItalicMT" w:cs="Arial-BoldItalicMT" w:hint="eastAsia"/>
          <w:b/>
          <w:bCs/>
          <w:i/>
          <w:iCs/>
          <w:sz w:val="19"/>
          <w:szCs w:val="19"/>
          <w:lang w:val="en-GB"/>
        </w:rPr>
      </w:pPr>
    </w:p>
    <w:p w:rsidR="00922A3E" w:rsidRDefault="00922A3E" w:rsidP="00922A3E">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922A3E" w:rsidTr="00E46995">
        <w:tc>
          <w:tcPr>
            <w:tcW w:w="2805"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922A3E" w:rsidTr="00E46995">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922A3E" w:rsidRDefault="00922A3E" w:rsidP="00E46995">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w:t>
            </w:r>
          </w:p>
        </w:tc>
        <w:tc>
          <w:tcPr>
            <w:tcW w:w="2549"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c>
          <w:tcPr>
            <w:tcW w:w="1845"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r>
    </w:tbl>
    <w:p w:rsidR="00922A3E" w:rsidRDefault="00922A3E" w:rsidP="00922A3E">
      <w:pPr>
        <w:autoSpaceDE w:val="0"/>
        <w:rPr>
          <w:rFonts w:ascii="Arial-BoldMT" w:hAnsi="Arial-BoldMT" w:cs="Arial-BoldMT" w:hint="eastAsia"/>
          <w:b/>
          <w:bCs/>
          <w:sz w:val="19"/>
          <w:szCs w:val="19"/>
        </w:rPr>
      </w:pPr>
    </w:p>
    <w:p w:rsidR="00922A3E" w:rsidRDefault="00922A3E" w:rsidP="00922A3E">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922A3E" w:rsidTr="00E46995">
        <w:tc>
          <w:tcPr>
            <w:tcW w:w="3417"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922A3E" w:rsidTr="00E46995">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color w:val="000080"/>
                <w:sz w:val="16"/>
                <w:szCs w:val="16"/>
                <w:lang w:val="en-GB"/>
              </w:rPr>
            </w:pPr>
            <w:r>
              <w:rPr>
                <w:color w:val="000080"/>
                <w:sz w:val="16"/>
                <w:szCs w:val="16"/>
                <w:lang w:val="en-GB"/>
              </w:rPr>
              <w:t>-</w:t>
            </w:r>
          </w:p>
        </w:tc>
        <w:tc>
          <w:tcPr>
            <w:tcW w:w="3417"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922A3E" w:rsidRDefault="00922A3E" w:rsidP="00E46995">
            <w:pPr>
              <w:snapToGrid w:val="0"/>
              <w:rPr>
                <w:sz w:val="16"/>
                <w:szCs w:val="16"/>
                <w:lang w:val="en-GB"/>
              </w:rPr>
            </w:pPr>
            <w:r>
              <w:rPr>
                <w:sz w:val="16"/>
                <w:szCs w:val="16"/>
                <w:lang w:val="en-GB"/>
              </w:rPr>
              <w:t>-</w:t>
            </w:r>
          </w:p>
        </w:tc>
      </w:tr>
    </w:tbl>
    <w:p w:rsidR="00922A3E" w:rsidRDefault="00922A3E" w:rsidP="00922A3E">
      <w:pPr>
        <w:autoSpaceDE w:val="0"/>
        <w:rPr>
          <w:rFonts w:ascii="Arial-BoldMT" w:hAnsi="Arial-BoldMT" w:cs="Arial-BoldMT" w:hint="eastAsia"/>
          <w:b/>
          <w:bCs/>
          <w:sz w:val="19"/>
          <w:szCs w:val="19"/>
          <w:lang w:val="en-GB"/>
        </w:rPr>
      </w:pPr>
    </w:p>
    <w:p w:rsidR="00922A3E" w:rsidRDefault="00922A3E" w:rsidP="00922A3E">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922A3E"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922A3E" w:rsidRDefault="00922A3E"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922A3E"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922A3E" w:rsidRDefault="00922A3E" w:rsidP="00E46995">
            <w:pPr>
              <w:snapToGrid w:val="0"/>
              <w:rPr>
                <w:color w:val="000080"/>
                <w:sz w:val="16"/>
                <w:szCs w:val="16"/>
                <w:lang w:val="en-GB"/>
              </w:rPr>
            </w:pPr>
            <w:r>
              <w:rPr>
                <w:color w:val="000080"/>
                <w:sz w:val="16"/>
                <w:szCs w:val="16"/>
                <w:lang w:val="en-GB"/>
              </w:rPr>
              <w:t xml:space="preserve">- </w:t>
            </w:r>
          </w:p>
        </w:tc>
      </w:tr>
    </w:tbl>
    <w:p w:rsidR="00922A3E" w:rsidRDefault="00922A3E" w:rsidP="00922A3E">
      <w:pPr>
        <w:autoSpaceDE w:val="0"/>
        <w:rPr>
          <w:rFonts w:ascii="Arial-BoldMT" w:hAnsi="Arial-BoldMT" w:cs="Arial-BoldMT" w:hint="eastAsia"/>
          <w:b/>
          <w:bCs/>
          <w:sz w:val="19"/>
          <w:szCs w:val="19"/>
          <w:lang w:val="en-GB"/>
        </w:rPr>
      </w:pPr>
    </w:p>
    <w:p w:rsidR="00922A3E" w:rsidRDefault="00922A3E" w:rsidP="00922A3E">
      <w:pPr>
        <w:autoSpaceDE w:val="0"/>
        <w:rPr>
          <w:rFonts w:ascii="Arial-BoldMT" w:hAnsi="Arial-BoldMT" w:cs="Arial-BoldMT" w:hint="eastAsia"/>
          <w:b/>
          <w:bCs/>
          <w:sz w:val="19"/>
          <w:szCs w:val="19"/>
          <w:lang w:val="en-GB"/>
        </w:rPr>
      </w:pPr>
    </w:p>
    <w:p w:rsidR="00922A3E" w:rsidRDefault="00922A3E" w:rsidP="00922A3E">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922A3E" w:rsidTr="00E46995">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922A3E" w:rsidRDefault="00922A3E" w:rsidP="00E46995">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922A3E"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922A3E" w:rsidRDefault="00922A3E" w:rsidP="00E46995">
            <w:pPr>
              <w:snapToGrid w:val="0"/>
              <w:rPr>
                <w:sz w:val="16"/>
                <w:szCs w:val="16"/>
                <w:lang w:val="en-GB"/>
              </w:rPr>
            </w:pPr>
            <w:r>
              <w:rPr>
                <w:color w:val="000080"/>
                <w:sz w:val="16"/>
                <w:szCs w:val="16"/>
                <w:lang w:val="en-GB"/>
              </w:rPr>
              <w:t xml:space="preserve">- </w:t>
            </w:r>
            <w:r>
              <w:rPr>
                <w:sz w:val="16"/>
                <w:szCs w:val="16"/>
                <w:lang w:val="en-GB"/>
              </w:rPr>
              <w:tab/>
              <w:t xml:space="preserve"> </w:t>
            </w:r>
          </w:p>
        </w:tc>
      </w:tr>
    </w:tbl>
    <w:p w:rsidR="00922A3E" w:rsidRDefault="00922A3E" w:rsidP="00922A3E">
      <w:pPr>
        <w:autoSpaceDE w:val="0"/>
        <w:rPr>
          <w:rFonts w:ascii="Arial-ItalicMT" w:hAnsi="Arial-ItalicMT" w:cs="Arial-ItalicMT" w:hint="eastAsia"/>
          <w:i/>
          <w:iCs/>
          <w:color w:val="65659B"/>
          <w:sz w:val="19"/>
          <w:szCs w:val="19"/>
          <w:lang w:val="en-GB"/>
        </w:rPr>
      </w:pPr>
    </w:p>
    <w:p w:rsidR="00922A3E" w:rsidRDefault="00922A3E" w:rsidP="00922A3E">
      <w:pPr>
        <w:pStyle w:val="berschrift1"/>
        <w:numPr>
          <w:ilvl w:val="0"/>
          <w:numId w:val="12"/>
        </w:numPr>
      </w:pPr>
      <w:r>
        <w:t>Step by Step Analysis of Use Case</w:t>
      </w:r>
    </w:p>
    <w:p w:rsidR="00922A3E" w:rsidRDefault="00922A3E" w:rsidP="00922A3E">
      <w:pPr>
        <w:autoSpaceDE w:val="0"/>
        <w:rPr>
          <w:rFonts w:ascii="Arial-BoldMT" w:hAnsi="Arial-BoldMT" w:cs="Arial-BoldMT" w:hint="eastAsia"/>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922A3E" w:rsidTr="00E46995">
        <w:trPr>
          <w:tblHeader/>
        </w:trPr>
        <w:tc>
          <w:tcPr>
            <w:tcW w:w="624" w:type="dxa"/>
            <w:tcBorders>
              <w:top w:val="single" w:sz="4" w:space="0" w:color="000000"/>
              <w:left w:val="single" w:sz="4" w:space="0" w:color="000000"/>
              <w:bottom w:val="single" w:sz="4" w:space="0" w:color="000000"/>
            </w:tcBorders>
            <w:shd w:val="clear" w:color="auto" w:fill="D9D9D9"/>
          </w:tcPr>
          <w:p w:rsidR="00922A3E" w:rsidRDefault="00922A3E" w:rsidP="00E46995">
            <w:pPr>
              <w:pStyle w:val="Textkrper"/>
              <w:snapToGrid w:val="0"/>
              <w:ind w:left="0"/>
              <w:rPr>
                <w:b/>
                <w:color w:val="000080"/>
                <w:sz w:val="16"/>
                <w:szCs w:val="16"/>
              </w:rPr>
            </w:pPr>
            <w:proofErr w:type="spellStart"/>
            <w:r>
              <w:rPr>
                <w:b/>
                <w:color w:val="000080"/>
                <w:sz w:val="16"/>
                <w:szCs w:val="16"/>
              </w:rPr>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922A3E" w:rsidRDefault="00922A3E" w:rsidP="00E46995">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922A3E" w:rsidRDefault="00922A3E" w:rsidP="00E46995">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922A3E" w:rsidRDefault="00922A3E" w:rsidP="00E46995">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922A3E" w:rsidRDefault="00922A3E" w:rsidP="00E46995">
            <w:pPr>
              <w:pStyle w:val="Textkrper"/>
              <w:snapToGrid w:val="0"/>
              <w:ind w:left="72"/>
              <w:rPr>
                <w:b/>
                <w:color w:val="000080"/>
                <w:sz w:val="18"/>
                <w:szCs w:val="18"/>
              </w:rPr>
            </w:pPr>
            <w:r>
              <w:rPr>
                <w:b/>
                <w:color w:val="000080"/>
                <w:sz w:val="18"/>
                <w:szCs w:val="18"/>
              </w:rPr>
              <w:t>Post-Condition</w:t>
            </w:r>
          </w:p>
        </w:tc>
      </w:tr>
      <w:tr w:rsidR="00922A3E" w:rsidTr="00E46995">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color w:val="000080"/>
                <w:sz w:val="16"/>
                <w:szCs w:val="16"/>
                <w:lang w:val="en-GB"/>
              </w:rPr>
            </w:pPr>
            <w:r>
              <w:rPr>
                <w:color w:val="000080"/>
                <w:sz w:val="16"/>
                <w:szCs w:val="16"/>
                <w:lang w:val="en-GB"/>
              </w:rPr>
              <w:t>-</w:t>
            </w:r>
          </w:p>
        </w:tc>
        <w:tc>
          <w:tcPr>
            <w:tcW w:w="2054"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922A3E" w:rsidRDefault="00922A3E" w:rsidP="00E46995">
            <w:pPr>
              <w:snapToGrid w:val="0"/>
              <w:rPr>
                <w:sz w:val="16"/>
                <w:szCs w:val="16"/>
                <w:lang w:val="en-GB"/>
              </w:rPr>
            </w:pPr>
            <w:r>
              <w:rPr>
                <w:sz w:val="16"/>
                <w:szCs w:val="16"/>
                <w:lang w:val="en-GB"/>
              </w:rPr>
              <w:t>-</w:t>
            </w:r>
          </w:p>
        </w:tc>
      </w:tr>
    </w:tbl>
    <w:p w:rsidR="00922A3E" w:rsidRDefault="00922A3E" w:rsidP="00922A3E">
      <w:pPr>
        <w:sectPr w:rsidR="00922A3E">
          <w:pgSz w:w="11906" w:h="16838"/>
          <w:pgMar w:top="1134" w:right="1134" w:bottom="1134" w:left="1134" w:header="720" w:footer="720" w:gutter="0"/>
          <w:cols w:space="720"/>
        </w:sectPr>
      </w:pPr>
    </w:p>
    <w:p w:rsidR="000E77B2" w:rsidRDefault="000E77B2"/>
    <w:sectPr w:rsidR="000E7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C6"/>
    <w:multiLevelType w:val="multilevel"/>
    <w:tmpl w:val="000000C6"/>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C7"/>
    <w:multiLevelType w:val="multilevel"/>
    <w:tmpl w:val="000000C7"/>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C8"/>
    <w:multiLevelType w:val="multilevel"/>
    <w:tmpl w:val="000000C8"/>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C9"/>
    <w:multiLevelType w:val="multilevel"/>
    <w:tmpl w:val="000000C9"/>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CA"/>
    <w:multiLevelType w:val="multilevel"/>
    <w:tmpl w:val="000000CA"/>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CB"/>
    <w:multiLevelType w:val="multilevel"/>
    <w:tmpl w:val="000000CB"/>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CC"/>
    <w:multiLevelType w:val="multilevel"/>
    <w:tmpl w:val="000000CC"/>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CD"/>
    <w:multiLevelType w:val="multilevel"/>
    <w:tmpl w:val="000000CD"/>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CE"/>
    <w:multiLevelType w:val="multilevel"/>
    <w:tmpl w:val="000000CE"/>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CF"/>
    <w:multiLevelType w:val="multilevel"/>
    <w:tmpl w:val="000000CF"/>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D0"/>
    <w:multiLevelType w:val="multilevel"/>
    <w:tmpl w:val="000000D0"/>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D1"/>
    <w:multiLevelType w:val="multilevel"/>
    <w:tmpl w:val="000000D1"/>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3E"/>
    <w:rsid w:val="000E77B2"/>
    <w:rsid w:val="00614E7E"/>
    <w:rsid w:val="00922A3E"/>
    <w:rsid w:val="00BA56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2A3E"/>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Standard"/>
    <w:next w:val="Standard"/>
    <w:link w:val="berschrift1Zchn"/>
    <w:qFormat/>
    <w:rsid w:val="00922A3E"/>
    <w:pPr>
      <w:keepNext/>
      <w:tabs>
        <w:tab w:val="left" w:pos="0"/>
      </w:tabs>
      <w:snapToGrid w:val="0"/>
      <w:spacing w:before="200"/>
      <w:ind w:left="926" w:hanging="360"/>
      <w:outlineLvl w:val="0"/>
    </w:pPr>
    <w:rPr>
      <w:rFonts w:cs="Arial"/>
      <w:b/>
      <w:bCs/>
      <w:spacing w:val="8"/>
      <w:sz w:val="22"/>
      <w:szCs w:val="22"/>
      <w:lang w:val="en-GB"/>
    </w:rPr>
  </w:style>
  <w:style w:type="paragraph" w:styleId="berschrift2">
    <w:name w:val="heading 2"/>
    <w:basedOn w:val="Standard"/>
    <w:next w:val="Standard"/>
    <w:link w:val="berschrift2Zchn"/>
    <w:uiPriority w:val="9"/>
    <w:semiHidden/>
    <w:unhideWhenUsed/>
    <w:qFormat/>
    <w:rsid w:val="00922A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22A3E"/>
    <w:rPr>
      <w:rFonts w:ascii="Arial" w:eastAsia="MS Mincho" w:hAnsi="Arial" w:cs="Arial"/>
      <w:b/>
      <w:bCs/>
      <w:spacing w:val="8"/>
      <w:lang w:val="en-GB" w:eastAsia="ar-SA"/>
    </w:rPr>
  </w:style>
  <w:style w:type="character" w:styleId="Hyperlink">
    <w:name w:val="Hyperlink"/>
    <w:rsid w:val="00922A3E"/>
    <w:rPr>
      <w:color w:val="000080"/>
      <w:u w:val="single"/>
    </w:rPr>
  </w:style>
  <w:style w:type="paragraph" w:styleId="Textkrper">
    <w:name w:val="Body Text"/>
    <w:basedOn w:val="Standard"/>
    <w:link w:val="TextkrperZchn"/>
    <w:rsid w:val="00922A3E"/>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922A3E"/>
    <w:rPr>
      <w:rFonts w:ascii="Arial" w:eastAsia="MS Mincho" w:hAnsi="Arial" w:cs="Arial"/>
      <w:color w:val="000000"/>
      <w:sz w:val="20"/>
      <w:szCs w:val="20"/>
      <w:lang w:val="en-US" w:eastAsia="ar-SA"/>
    </w:rPr>
  </w:style>
  <w:style w:type="paragraph" w:customStyle="1" w:styleId="AMD-Heading2">
    <w:name w:val="AMD-Heading2..."/>
    <w:basedOn w:val="berschrift2"/>
    <w:next w:val="Standard"/>
    <w:rsid w:val="00922A3E"/>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922A3E"/>
    <w:rPr>
      <w:rFonts w:asciiTheme="majorHAnsi" w:eastAsiaTheme="majorEastAsia" w:hAnsiTheme="majorHAnsi" w:cstheme="majorBidi"/>
      <w:color w:val="2E74B5" w:themeColor="accent1" w:themeShade="BF"/>
      <w:sz w:val="26"/>
      <w:szCs w:val="2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22A3E"/>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Standard"/>
    <w:next w:val="Standard"/>
    <w:link w:val="berschrift1Zchn"/>
    <w:qFormat/>
    <w:rsid w:val="00922A3E"/>
    <w:pPr>
      <w:keepNext/>
      <w:tabs>
        <w:tab w:val="left" w:pos="0"/>
      </w:tabs>
      <w:snapToGrid w:val="0"/>
      <w:spacing w:before="200"/>
      <w:ind w:left="926" w:hanging="360"/>
      <w:outlineLvl w:val="0"/>
    </w:pPr>
    <w:rPr>
      <w:rFonts w:cs="Arial"/>
      <w:b/>
      <w:bCs/>
      <w:spacing w:val="8"/>
      <w:sz w:val="22"/>
      <w:szCs w:val="22"/>
      <w:lang w:val="en-GB"/>
    </w:rPr>
  </w:style>
  <w:style w:type="paragraph" w:styleId="berschrift2">
    <w:name w:val="heading 2"/>
    <w:basedOn w:val="Standard"/>
    <w:next w:val="Standard"/>
    <w:link w:val="berschrift2Zchn"/>
    <w:uiPriority w:val="9"/>
    <w:semiHidden/>
    <w:unhideWhenUsed/>
    <w:qFormat/>
    <w:rsid w:val="00922A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22A3E"/>
    <w:rPr>
      <w:rFonts w:ascii="Arial" w:eastAsia="MS Mincho" w:hAnsi="Arial" w:cs="Arial"/>
      <w:b/>
      <w:bCs/>
      <w:spacing w:val="8"/>
      <w:lang w:val="en-GB" w:eastAsia="ar-SA"/>
    </w:rPr>
  </w:style>
  <w:style w:type="character" w:styleId="Hyperlink">
    <w:name w:val="Hyperlink"/>
    <w:rsid w:val="00922A3E"/>
    <w:rPr>
      <w:color w:val="000080"/>
      <w:u w:val="single"/>
    </w:rPr>
  </w:style>
  <w:style w:type="paragraph" w:styleId="Textkrper">
    <w:name w:val="Body Text"/>
    <w:basedOn w:val="Standard"/>
    <w:link w:val="TextkrperZchn"/>
    <w:rsid w:val="00922A3E"/>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922A3E"/>
    <w:rPr>
      <w:rFonts w:ascii="Arial" w:eastAsia="MS Mincho" w:hAnsi="Arial" w:cs="Arial"/>
      <w:color w:val="000000"/>
      <w:sz w:val="20"/>
      <w:szCs w:val="20"/>
      <w:lang w:val="en-US" w:eastAsia="ar-SA"/>
    </w:rPr>
  </w:style>
  <w:style w:type="paragraph" w:customStyle="1" w:styleId="AMD-Heading2">
    <w:name w:val="AMD-Heading2..."/>
    <w:basedOn w:val="berschrift2"/>
    <w:next w:val="Standard"/>
    <w:rsid w:val="00922A3E"/>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922A3E"/>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43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eu/cen/Sectors/Sectors/UtilitiesAndEnergy/SmartGrids/Pages/default.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6729</Characters>
  <Application>Microsoft Office Word</Application>
  <DocSecurity>0</DocSecurity>
  <Lines>56</Lines>
  <Paragraphs>15</Paragraphs>
  <ScaleCrop>false</ScaleCrop>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Oliver Langthaler</cp:lastModifiedBy>
  <cp:revision>4</cp:revision>
  <dcterms:created xsi:type="dcterms:W3CDTF">2015-02-12T14:49:00Z</dcterms:created>
  <dcterms:modified xsi:type="dcterms:W3CDTF">2015-03-05T14:20:00Z</dcterms:modified>
</cp:coreProperties>
</file>