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61B2E"/>
          <w:sz w:val="34"/>
          <w:szCs w:val="34"/>
        </w:rPr>
        <w:t xml:space="preserve">Falhas de Instalação e Tratativas</w:t>
      </w:r>
    </w:p>
    <w:p>
      <w:pPr>
        <w:spacing w:after="160"/>
        <w:jc w:val="center"/>
      </w:pPr>
      <w:r>
        <w:rPr>
          <w:i/>
          <w:iCs/>
          <w:color w:val="6B6960"/>
          <w:sz w:val="22"/>
          <w:szCs w:val="22"/>
        </w:rPr>
        <w:t xml:space="preserve">Fila de remediação do deploy do agente Acronis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REVISÕES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4080"/>
        <w:gridCol w:w="1700"/>
        <w:gridCol w:w="170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DATA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REVISÃO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DESCRIÇÃO DAS ALTERAÇÕES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APROVADO POR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01/06/2026</w:t>
            </w:r>
          </w:p>
        </w:tc>
        <w:tc>
          <w:tcPr>
            <w:tcW w:type="dxa" w:w="11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00</w:t>
            </w:r>
          </w:p>
        </w:tc>
        <w:tc>
          <w:tcPr>
            <w:tcW w:type="dxa" w:w="4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Emissão inicial do documento (Ação #01).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TI / Marcone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r>
              <w:rPr>
                <w:sz w:val="15"/>
                <w:szCs w:val="15"/>
              </w:rPr>
              <w:t xml:space="preserve">Diretoria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</w:pPr>
      <w:r>
        <w:t xml:space="preserve">Registro de falhas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800"/>
        <w:gridCol w:w="1700"/>
        <w:gridCol w:w="1700"/>
        <w:gridCol w:w="1180"/>
        <w:gridCol w:w="900"/>
        <w:gridCol w:w="1080"/>
      </w:tblGrid>
      <w:tr>
        <w:trPr>
          <w:tblHeader/>
        </w:trP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Hostname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Unidade/Setor</w:t>
            </w:r>
          </w:p>
        </w:tc>
        <w:tc>
          <w:tcPr>
            <w:tcW w:type="dxa" w:w="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Onda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Causa raiz</w:t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Tratativa</w:t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Responsável</w:t>
            </w:r>
          </w:p>
        </w:tc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Prazo</w:t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8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1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p>
      <w:pPr>
        <w:pBdr>
          <w:left w:val="single" w:color="B8492C" w:sz="18" w:space="8"/>
        </w:pBdr>
        <w:shd w:fill="F7E7B8" w:val="clear"/>
        <w:spacing w:after="120" w:before="80"/>
        <w:ind w:left="120"/>
      </w:pPr>
      <w:r>
        <w:rPr>
          <w:b/>
          <w:bCs/>
          <w:sz w:val="18"/>
          <w:szCs w:val="18"/>
        </w:rPr>
        <w:t xml:space="preserve">Nota: </w:t>
      </w:r>
      <w:r>
        <w:rPr>
          <w:i/>
          <w:iCs/>
          <w:sz w:val="18"/>
          <w:szCs w:val="18"/>
        </w:rPr>
        <w:t xml:space="preserve">Causas comuns: credencial, comunicação (DNS/proxy/porta/firewall), compatibilidade de SO, máquina off-line. Status: Aberta / Em tratamento / Resolvida / Exceção.</w:t>
      </w:r>
    </w:p>
    <w:p>
      <w:pPr>
        <w:spacing w:after="40"/>
      </w:pPr>
      <w:r>
        <w:t xml:space="preserve"/>
      </w:r>
    </w:p>
    <w:p>
      <w:pPr>
        <w:pStyle w:val="Heading1"/>
      </w:pPr>
      <w:r>
        <w:t xml:space="preserve">Resumo</w:t>
      </w:r>
    </w:p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80"/>
        <w:gridCol w:w="4000"/>
      </w:tblGrid>
      <w:tr>
        <w:trPr>
          <w:tblHeader/>
        </w:trP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161B2E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Total de falhas no período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Resolvidas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Em tratamento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Em exceção (com prazo)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4EFE6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>Taxa de sucesso em 1ª tentativa (%)</w:t>
            </w:r>
          </w:p>
        </w:tc>
        <w:tc>
          <w:tcPr>
            <w:tcW w:type="dxa" w:w="40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FFFFFF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/>
            </w:pPr>
            <w:r>
              <w:rPr>
                <w:sz w:val="17"/>
                <w:szCs w:val="17"/>
              </w:rPr>
              <w:t xml:space="preserve"/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shd w:fill="ECE5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61B2E"/>
                <w:sz w:val="18"/>
                <w:szCs w:val="18"/>
              </w:rPr>
              <w:t xml:space="preserve">Responsável (assinatura)</w:t>
            </w:r>
          </w:p>
        </w:tc>
        <w:tc>
          <w:tcPr>
            <w:tcW w:type="dxa" w:w="6880"/>
            <w:tcBorders>
              <w:top w:val="single" w:color="C8C0AE" w:sz="4"/>
              <w:left w:val="single" w:color="C8C0AE" w:sz="4"/>
              <w:bottom w:val="single" w:color="C8C0AE" w:sz="4"/>
              <w:right w:val="single" w:color="C8C0AE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</w:tc>
      </w:tr>
    </w:tbl>
    <w:p>
      <w:pPr>
        <w:spacing w:after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21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0AE" w:sz="4" w:space="4"/>
      </w:pBdr>
    </w:pPr>
    <w:r>
      <w:rPr>
        <w:color w:val="6B6960"/>
        <w:sz w:val="14"/>
        <w:szCs w:val="14"/>
      </w:rPr>
      <w:t xml:space="preserve">ecosmetics — Documento interno e controlado. Reprodução sujeita a controle de versão.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C8C0AE" w:sz="4"/>
        <w:left w:val="single" w:color="C8C0AE" w:sz="4"/>
        <w:bottom w:val="single" w:color="161B2E" w:sz="12"/>
        <w:right w:val="single" w:color="C8C0AE" w:sz="4"/>
        <w:insideH w:val="none" w:color="FFFFFF" w:sz="0"/>
        <w:insideV w:val="single" w:color="C8C0AE" w:sz="4"/>
      </w:tblBorders>
    </w:tblPr>
    <w:tblGrid>
      <w:gridCol w:w="2600"/>
      <w:gridCol w:w="4880"/>
      <w:gridCol w:w="2600"/>
    </w:tblGrid>
    <w:t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r>
            <w:drawing>
              <wp:inline distT="0" distB="0" distL="0" distR="0">
                <wp:extent cx="1428750" cy="685800"/>
                <wp:effectExtent t="0" r="0" b="0" l="0"/>
                <wp:docPr id="1" name="logo" descr="Logotipo ecosmetics" title="ecosme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80"/>
            <w:bottom w:type="dxa" w:w="40"/>
            <w:right w:type="dxa" w:w="80"/>
          </w:tcMar>
          <w:vAlign w:val="center"/>
        </w:tcPr>
        <w:p>
          <w:pPr>
            <w:spacing w:after="10"/>
            <w:jc w:val="center"/>
          </w:pPr>
          <w:r>
            <w:rPr>
              <w:b/>
              <w:bCs/>
              <w:color w:val="161B2E"/>
              <w:sz w:val="18"/>
              <w:szCs w:val="18"/>
            </w:rPr>
            <w:t xml:space="preserve">GOVERNANÇA DE TI</w:t>
          </w:r>
        </w:p>
        <w:p>
          <w:pPr>
            <w:spacing w:after="10"/>
            <w:jc w:val="center"/>
          </w:pPr>
          <w:r>
            <w:rPr>
              <w:b/>
              <w:bCs/>
              <w:color w:val="B8492C"/>
              <w:sz w:val="20"/>
              <w:szCs w:val="20"/>
            </w:rPr>
            <w:t xml:space="preserve">REGISTRO DE FALHAS DE INSTALAÇÃO E TRATATIVAS</w:t>
          </w:r>
        </w:p>
        <w:p>
          <w:pPr>
            <w:jc w:val="center"/>
          </w:pPr>
          <w:r>
            <w:rPr>
              <w:color w:val="161B2E"/>
              <w:sz w:val="16"/>
              <w:szCs w:val="16"/>
            </w:rPr>
            <w:t xml:space="preserve">AÇÃO #01 — INVENTÁRIO DE HW/SW COM ACRONIS</w:t>
          </w:r>
        </w:p>
      </w:tc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60"/>
            <w:bottom w:type="dxa" w:w="40"/>
            <w:right w:type="dxa" w:w="60"/>
          </w:tcMar>
          <w:vAlign w:val="center"/>
        </w:tcPr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PÁGINA: </w:t>
          </w:r>
          <w:r>
            <w:rPr>
              <w:sz w:val="15"/>
              <w:szCs w:val="15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sz w:val="15"/>
              <w:szCs w:val="15"/>
            </w:rPr>
            <w:t xml:space="preserve"> de </w:t>
          </w:r>
          <w:r>
            <w:rPr>
              <w:sz w:val="15"/>
              <w:szCs w:val="15"/>
            </w:rPr>
            <w:fldChar w:fldCharType="begin"/>
            <w:instrText xml:space="preserve">NUMPAGES</w:instrText>
            <w:fldChar w:fldCharType="separate"/>
            <w:fldChar w:fldCharType="end"/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CÓDIGO: </w:t>
          </w:r>
          <w:r>
            <w:rPr>
              <w:sz w:val="15"/>
              <w:szCs w:val="15"/>
            </w:rPr>
            <w:t xml:space="preserve">FOR-GTI-01-03</w:t>
          </w:r>
        </w:p>
        <w:p>
          <w:pPr>
            <w:spacing w:after="10"/>
          </w:pPr>
          <w:r>
            <w:rPr>
              <w:b/>
              <w:bCs/>
              <w:color w:val="161B2E"/>
              <w:sz w:val="15"/>
              <w:szCs w:val="15"/>
            </w:rPr>
            <w:t xml:space="preserve">REVISÃO: </w:t>
          </w:r>
          <w:r>
            <w:rPr>
              <w:sz w:val="15"/>
              <w:szCs w:val="15"/>
            </w:rPr>
            <w:t xml:space="preserve">Rev 00 — 01/06/2026</w:t>
          </w:r>
        </w:p>
      </w:tc>
    </w:tr>
  </w:tbl>
  <w:p>
    <w:pPr>
      <w:spacing w:after="6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B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492C" w:sz="8" w:space="4"/>
      </w:pBdr>
      <w:spacing w:after="120" w:before="260"/>
      <w:outlineLvl w:val="0"/>
    </w:pPr>
    <w:rPr>
      <w:rFonts w:ascii="Arial" w:cs="Arial" w:eastAsia="Arial" w:hAnsi="Arial"/>
      <w:b/>
      <w:bCs/>
      <w:color w:val="161B2E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B8492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161B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7a29e54fc4ee64ed9157d0284ac924c44bbab1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2026-06-01T21:09:27.712Z</dcterms:created>
  <dcterms:modified xsi:type="dcterms:W3CDTF">2026-06-01T21:09:27.712Z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