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Controle de Software Não Homologado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Notificação, prazo de 15 dias e desfecho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#01).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Registro consolidado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800"/>
        <w:gridCol w:w="900"/>
        <w:gridCol w:w="1300"/>
        <w:gridCol w:w="1300"/>
        <w:gridCol w:w="1100"/>
        <w:gridCol w:w="880"/>
      </w:tblGrid>
      <w:tr>
        <w:trPr>
          <w:tblHeader/>
        </w:trPr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Ticket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Ativo / Setor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Software / versão</w:t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Risco</w:t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notif.</w:t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D+15 (limite)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Desfecho</w:t>
            </w:r>
          </w:p>
        </w:tc>
        <w:tc>
          <w:tcPr>
            <w:tcW w:type="dxa" w:w="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left w:val="single" w:color="B8492C" w:sz="18" w:space="8"/>
        </w:pBdr>
        <w:shd w:fill="F7E7B8" w:val="clear"/>
        <w:spacing w:after="120" w:before="80"/>
        <w:ind w:left="120"/>
      </w:pPr>
      <w:r>
        <w:rPr>
          <w:b/>
          <w:bCs/>
          <w:sz w:val="18"/>
          <w:szCs w:val="18"/>
        </w:rPr>
        <w:t xml:space="preserve">Nota: </w:t>
      </w:r>
      <w:r>
        <w:rPr>
          <w:i/>
          <w:iCs/>
          <w:sz w:val="18"/>
          <w:szCs w:val="18"/>
        </w:rPr>
        <w:t xml:space="preserve">Risco: baixo/médio/alto/crítico. Desfecho: Regularizado / Removido / Termo assinado. Status: Aberto / Em prazo / Encerrado. Follow-up obrigatório em D+5 e D+10.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Resumo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0"/>
        <w:gridCol w:w="4000"/>
      </w:tblGrid>
      <w:tr>
        <w:trPr>
          <w:tblHeader/>
        </w:trP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Achados no período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Regularizados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Removidos/substituídos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Termos assinados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Em prazo (abertos)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 (assinatura)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REGISTRO DE SOFTWARE NÃO HOMOLOGADO (CONTROLE)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#01 — INVENTÁRIO DE HW/SW COM ACRONIS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FOR-GTI-01-04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2026-06-01T21:09:27.735Z</dcterms:created>
  <dcterms:modified xsi:type="dcterms:W3CDTF">2026-06-01T21:09:27.735Z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