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Kit de Comunicação Oficial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Implantação do ciclo de vida e etiquetagem de ativos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1. COMUNICADO OFICIAL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Para:</w:t>
      </w:r>
      <w:r>
        <w:t xml:space="preserve"> Todos os colaboradores | </w:t>
      </w:r>
      <w:r>
        <w:rPr>
          <w:b/>
          <w:bCs/>
        </w:rPr>
        <w:t xml:space="preserve">De:</w:t>
      </w:r>
      <w:r>
        <w:t xml:space="preserve"> Tecnologia da Informação | </w:t>
      </w:r>
      <w:r>
        <w:rPr>
          <w:b/>
          <w:bCs/>
        </w:rPr>
        <w:t xml:space="preserve">Assunto:</w:t>
      </w:r>
      <w:r>
        <w:t xml:space="preserve"> Nova etiquetagem e controle de ciclo de vida dos ativos de TI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Prezados(as), a partir desta data a ecosmetics passa a adotar um processo padronizado de controle dos ativos de TI. Todos os equipamentos elegíveis (notebooks, desktops, monitores, equipamentos de rede e periféricos) receberão uma </w:t>
      </w:r>
      <w:r>
        <w:rPr>
          <w:b/>
          <w:bCs/>
        </w:rPr>
        <w:t xml:space="preserve">etiqueta de alumínio com código único</w:t>
      </w:r>
      <w:r>
        <w:t xml:space="preserve">, e qualquer movimentação passará a exigir atualização do inventário.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O que muda para você: </w:t>
      </w:r>
      <w:r>
        <w:rPr>
          <w:b/>
          <w:bCs/>
        </w:rPr>
        <w:t xml:space="preserve">antes de mover, trocar ou devolver qualquer equipamento, acione a TI</w:t>
      </w:r>
      <w:r>
        <w:t xml:space="preserve">. Isso garante a rastreabilidade do patrimônio e protege você e a empresa em auditorias. A etiqueta não deve ser removida ou coberta.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Contamos com a colaboração de todos. Dúvidas devem ser encaminhadas ao canal indicado na seção 4 deste kit.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RESUMO EXECUTIVO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c>
          <w:tcPr>
            <w:tcW w:type="dxa" w:w="2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1B2E"/>
                <w:sz w:val="19"/>
                <w:szCs w:val="19"/>
              </w:rPr>
              <w:t xml:space="preserve">Iniciativa</w:t>
            </w:r>
          </w:p>
        </w:tc>
        <w:tc>
          <w:tcPr>
            <w:tcW w:type="dxa" w:w="7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Ação #03 — Ciclo de vida e etiquetagem de ativos de TI</w:t>
            </w:r>
          </w:p>
        </w:tc>
      </w:tr>
      <w:tr>
        <w:tc>
          <w:tcPr>
            <w:tcW w:type="dxa" w:w="2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1B2E"/>
                <w:sz w:val="19"/>
                <w:szCs w:val="19"/>
              </w:rPr>
              <w:t xml:space="preserve">Objetivo</w:t>
            </w:r>
          </w:p>
        </w:tc>
        <w:tc>
          <w:tcPr>
            <w:tcW w:type="dxa" w:w="7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Rastreabilidade ponta a ponta e evidência auditável dos ativos</w:t>
            </w:r>
          </w:p>
        </w:tc>
      </w:tr>
      <w:tr>
        <w:tc>
          <w:tcPr>
            <w:tcW w:type="dxa" w:w="2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1B2E"/>
                <w:sz w:val="19"/>
                <w:szCs w:val="19"/>
              </w:rPr>
              <w:t xml:space="preserve">Abrangência</w:t>
            </w:r>
          </w:p>
        </w:tc>
        <w:tc>
          <w:tcPr>
            <w:tcW w:type="dxa" w:w="7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Todas as unidades e áreas com ativos de TI</w:t>
            </w:r>
          </w:p>
        </w:tc>
      </w:tr>
      <w:tr>
        <w:tc>
          <w:tcPr>
            <w:tcW w:type="dxa" w:w="2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1B2E"/>
                <w:sz w:val="19"/>
                <w:szCs w:val="19"/>
              </w:rPr>
              <w:t xml:space="preserve">Prazo de estabilização</w:t>
            </w:r>
          </w:p>
        </w:tc>
        <w:tc>
          <w:tcPr>
            <w:tcW w:type="dxa" w:w="7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Antes de 13/07/2026</w:t>
            </w:r>
          </w:p>
        </w:tc>
      </w:tr>
      <w:tr>
        <w:tc>
          <w:tcPr>
            <w:tcW w:type="dxa" w:w="2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1B2E"/>
                <w:sz w:val="19"/>
                <w:szCs w:val="19"/>
              </w:rPr>
              <w:t xml:space="preserve">Patrocínio</w:t>
            </w:r>
          </w:p>
        </w:tc>
        <w:tc>
          <w:tcPr>
            <w:tcW w:type="dxa" w:w="7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Diretoria | Owner: Marcone (TI)</w:t>
            </w:r>
          </w:p>
        </w:tc>
      </w:tr>
      <w:tr>
        <w:tc>
          <w:tcPr>
            <w:tcW w:type="dxa" w:w="2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61B2E"/>
                <w:sz w:val="19"/>
                <w:szCs w:val="19"/>
              </w:rPr>
              <w:t xml:space="preserve">Benefícios</w:t>
            </w:r>
          </w:p>
        </w:tc>
        <w:tc>
          <w:tcPr>
            <w:tcW w:type="dxa" w:w="7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Conformidade, redução de risco patrimonial, suporte e inventário mais rápidos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</w:pPr>
      <w:r>
        <w:t xml:space="preserve">Por que agora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Preparação para auditoria interna de 13/07/2026.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Redução do risco de ativo não rastreado e perda patrimonial.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Base para próximas ações (#04 homologação, #19 Shadow IT, #14 catálogo de filiais).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PERGUNTAS FREQUENTES (FAQ)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O que é a etiqueta e por que meu equipamento recebeu uma?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É uma identificação permanente em alumínio com um código único que liga o equipamento ao inventário da empresa, garantindo controle e rastreabilidade.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Posso remover ou cobrir a etiqueta?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Não. A etiqueta é permanente. Se estiver danificada ou ilegível, acione a TI para substituição (o código é mantido).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Preciso mudar de sala ou trocar de equipamento. O que faço?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Acione a TI </w:t>
      </w:r>
      <w:r>
        <w:rPr>
          <w:b/>
          <w:bCs/>
        </w:rPr>
        <w:t xml:space="preserve">antes</w:t>
      </w:r>
      <w:r>
        <w:t xml:space="preserve"> da movimentação. O registro será atualizado e você assinará o checklist de movimentação.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Sou novo / estou saindo da empresa. Há algo específico?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Sim. A conferência de etiqueta e inventário faz parte do onboarding e do offboarding, com entrega/devolução registrada.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Quem procuro em caso de dúvida?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O ponto focal do seu setor ou o canal de atendimento da TI indicado na seção 4.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INSTRUÇÕES PARA GESTORES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Indicar um </w:t>
      </w:r>
      <w:r>
        <w:rPr>
          <w:b/>
          <w:bCs/>
        </w:rPr>
        <w:t xml:space="preserve">ponto focal</w:t>
      </w:r>
      <w:r>
        <w:t xml:space="preserve"> do setor e comunicar à TI (FOR-GTI-03-07).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Agendar e participar do kickoff e reforçar a mensagem com a equipe.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Garantir acesso da TI aos equipamentos do setor na janela da onda.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Validar a localização dos ativos durante a conciliação.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Apoiar o cumprimento do bloqueio processual: nenhuma movimentação sem acionar a TI.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Assinar o termo de homologação do setor ao final (FOR-GTI-03-10).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Canal de dúvidas e feedback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Canal oficial de atendimento (e-mail/ramal/chamado)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pela comunicação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Prazo para resposta de dúvidas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KIT DE COMUNICAÇÃO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COM-GTI-03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2026-06-01T20:39:42.166Z</dcterms:created>
  <dcterms:modified xsi:type="dcterms:W3CDTF">2026-06-01T20:39:42.166Z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