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Padrão de Etiquetagem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Identificação física permanente de ativos de TI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I. OBJETIVO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Definir o padrão único de etiqueta física para ativos de TI da ecosmetics — material, conteúdo, regra de codificação, posição de fixação, legibilidade e critérios de substituição — assegurando unicidade, durabilidade e rastreabilidade.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II. MATERIAL E ESPECIFICAÇÃO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Atributo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Especificação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Material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Etiqueta de alumínio anodizado (placa metálica), resistente a abrasão, calor e produtos de limpeza.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Dimensão padrão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50 × 20 mm (ativos compactos) ou 60 × 30 mm (equipamentos maiores).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Fixação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Adesivo industrial de alta aderência (VHB) e, quando possível, rebite em ativos sujeitos a vibração.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Impressão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Gravação permanente (laser/anodização). Vedada etiqueta de papel ou impressão térmica comum.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Elementos visuais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Logotipo ecosmetics, código alfanumérico legível e código de barras / QR equivalente.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III. REGRA DE CODIFICAÇÃO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O código deve ser </w:t>
      </w:r>
      <w:r>
        <w:rPr>
          <w:b/>
          <w:bCs/>
        </w:rPr>
        <w:t xml:space="preserve">único, permanente e não reutilizável</w:t>
      </w:r>
      <w:r>
        <w:t xml:space="preserve">, derivado do padrão de inventário consolidado na Ação #02. Estrutura recomendada: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ECO-UU-TT-NNNNN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8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Exemplo</w:t>
            </w:r>
          </w:p>
        </w:tc>
      </w:tr>
      <w:tr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ECO</w:t>
            </w:r>
          </w:p>
        </w:tc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Prefixo institucional ecosmetics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ECO</w:t>
            </w:r>
          </w:p>
        </w:tc>
      </w:tr>
      <w:tr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UU</w:t>
            </w:r>
          </w:p>
        </w:tc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Unidade / filial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MT (Matriz)</w:t>
            </w:r>
          </w:p>
        </w:tc>
      </w:tr>
      <w:tr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TT</w:t>
            </w:r>
          </w:p>
        </w:tc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Tipo de ativo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NB (notebook), DT (desktop), MN (monitor), SV (servidor), RD (rede), IM (impressora), MB (móvel)</w:t>
            </w:r>
          </w:p>
        </w:tc>
      </w:tr>
      <w:tr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NNNNN</w:t>
            </w:r>
          </w:p>
        </w:tc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Sequencial numérico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00142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B8492C" w:sz="18" w:space="8"/>
        </w:pBdr>
        <w:shd w:fill="F7E7B8" w:val="clear"/>
        <w:spacing w:after="120" w:before="80"/>
        <w:ind w:left="120"/>
      </w:pPr>
      <w:r>
        <w:rPr>
          <w:b/>
          <w:bCs/>
          <w:sz w:val="18"/>
          <w:szCs w:val="18"/>
        </w:rPr>
        <w:t xml:space="preserve">Nota: </w:t>
      </w:r>
      <w:r>
        <w:rPr>
          <w:i/>
          <w:iCs/>
          <w:sz w:val="18"/>
          <w:szCs w:val="18"/>
        </w:rPr>
        <w:t xml:space="preserve">Exemplo completo: ECO-MT-NB-00142. O sequencial nunca é reaproveitado, mesmo após baixa do ativo.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IV. POSIÇÃO DE FIXAÇÃO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 de ativo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Ponto padrão de fixação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Notebook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Tampa inferior, próximo à etiqueta de série, sem cobrir entradas de ventilação.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Desktop / gabinete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Face frontal superior ou lateral direita, visível sem mover o equipamento.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Monitor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Verso, no quadrante inferior direito.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Servidor / rack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Frontal, próximo ao identificador de slot.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Switch / roteador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Face frontal, à direita das portas.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Impressora / nobreak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Face frontal ou lateral, em superfície plana e visível.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Periférico elegível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Superfície plana inferior, sem prejudicar o uso.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V. LEGIBILIDADE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Código legível a olho nu a aprox. 30 cm e por leitor de código de barras/QR.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Sem sobreposição a etiquetas de fabricante, selos de garantia ou aberturas funcionais.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Contraste mínimo que garanta leitura sob iluminação normal de escritório.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VI. CRITÉRIOS DE SUBSTITUIÇÃO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Etiqueta ilegível, descolada, danificada ou rasurada deve ser substituída em até 5 dias úteis.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substituição </w:t>
      </w:r>
      <w:r>
        <w:rPr>
          <w:b/>
          <w:bCs/>
        </w:rPr>
        <w:t xml:space="preserve">mantém o mesmo código</w:t>
      </w:r>
      <w:r>
        <w:t xml:space="preserve"> do ativo; troca de código só ocorre por erro de cadastro formalmente tratado.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Toda substituição é registrada no inventário e evidenciada por foto (FOR-GTI-03-06).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VII. REFERÊNCIAS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POP-GTI-03 — Ciclo de vida de ativos.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IT-GTI-03 — Instrução de trabalho de etiquetagem.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Padrão de inventário (Ação #02).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PADRÃO DE ETIQUETAGEM DE ATIVOS DE TI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NRM-GTI-03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2026-06-01T20:39:42.042Z</dcterms:created>
  <dcterms:modified xsi:type="dcterms:W3CDTF">2026-06-01T20:39:42.042Z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