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Procedimento Operacional Padrão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Ciclo de Vida e Rastreabilidade de Ativos de TI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I. OBJETIVO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Estabelecer o procedimento padronizado de gestão do ciclo de vida dos ativos de Tecnologia da Informação da ecosmetics, desde a aquisição até o descarte, garantindo rastreabilidade ponta a ponta, integridade entre o ativo físico e o registro de inventário, e evidência auditável de governança patrimonial.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II. INFORMAÇÕES GERAIS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Base metodológica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ITAM (IT Asset Management):</w:t>
      </w:r>
      <w:r>
        <w:t xml:space="preserve"> governança dos ativos ao longo de todo o ciclo de vida.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SACM (Service Configuration and Asset Management):</w:t>
      </w:r>
      <w:r>
        <w:t xml:space="preserve"> integridade de dados entre o ativo físico e o registro lógico.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Information Security Management:</w:t>
      </w:r>
      <w:r>
        <w:t xml:space="preserve"> reforço do controle patrimonial e redução do risco de ativo não rastreado.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Apoio dos ciclos </w:t>
      </w:r>
      <w:r>
        <w:rPr>
          <w:b/>
          <w:bCs/>
        </w:rPr>
        <w:t xml:space="preserve">DMAIC</w:t>
      </w:r>
      <w:r>
        <w:t xml:space="preserve"> (melhoria contínua) e </w:t>
      </w:r>
      <w:r>
        <w:rPr>
          <w:b/>
          <w:bCs/>
        </w:rPr>
        <w:t xml:space="preserve">5W2H</w:t>
      </w:r>
      <w:r>
        <w:t xml:space="preserve"> (plano de ação).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Definições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Ativo de TI:</w:t>
      </w:r>
      <w:r>
        <w:t xml:space="preserve"> todo equipamento de hardware sob responsabilidade da TI (desktop, notebook, monitor, servidor, switch, roteador, nobreak, impressora, dispositivo móvel corporativo e periféricos elegíveis).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Ativo elegível:</w:t>
      </w:r>
      <w:r>
        <w:t xml:space="preserve"> ativo que, por tipo e valor, deve receber etiqueta física permanente e registro no inventário.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Código definitivo:</w:t>
      </w:r>
      <w:r>
        <w:t xml:space="preserve"> identificador único do ativo, gerado conforme o padrão de inventário (Ação #02).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Etiqueta física:</w:t>
      </w:r>
      <w:r>
        <w:t xml:space="preserve"> identificação permanente em alumínio fixada no ativo conforme NRM-GTI-03.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Conciliação físico x registro:</w:t>
      </w:r>
      <w:r>
        <w:t xml:space="preserve"> confronto entre o que existe fisicamente e o que consta no inventário.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Movimentação:</w:t>
      </w:r>
      <w:r>
        <w:t xml:space="preserve"> mudança de localização, de usuário responsável ou de status do ativo.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CMDB / Inventário:</w:t>
      </w:r>
      <w:r>
        <w:t xml:space="preserve"> base de registro lógico dos ativos e seus atributos.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Status do ciclo de vida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180"/>
        <w:gridCol w:w="2600"/>
      </w:tblGrid>
      <w:tr>
        <w:trPr>
          <w:tblHeader/>
        </w:trPr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Gatilho de mudança</w:t>
            </w:r>
          </w:p>
        </w:tc>
      </w:tr>
      <w:tr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Em aquisição</w:t>
            </w:r>
          </w:p>
        </w:tc>
        <w:tc>
          <w:tcPr>
            <w:tcW w:type="dxa" w:w="5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Ativo solicitado/comprado, ainda não recebido.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Pedido de compra aprovado.</w:t>
            </w:r>
          </w:p>
        </w:tc>
      </w:tr>
      <w:tr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Recebido</w:t>
            </w:r>
          </w:p>
        </w:tc>
        <w:tc>
          <w:tcPr>
            <w:tcW w:type="dxa" w:w="5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Ativo na posse da TI, aguardando preparação.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Conferência de recebimento.</w:t>
            </w:r>
          </w:p>
        </w:tc>
      </w:tr>
      <w:tr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Em estoque</w:t>
            </w:r>
          </w:p>
        </w:tc>
        <w:tc>
          <w:tcPr>
            <w:tcW w:type="dxa" w:w="5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Pronto e etiquetado, disponível para alocação.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Etiquetagem e cadastro concluídos.</w:t>
            </w:r>
          </w:p>
        </w:tc>
      </w:tr>
      <w:tr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Em uso</w:t>
            </w:r>
          </w:p>
        </w:tc>
        <w:tc>
          <w:tcPr>
            <w:tcW w:type="dxa" w:w="5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Alocado a usuário/local e em operação.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Termo de entrega / alocação.</w:t>
            </w:r>
          </w:p>
        </w:tc>
      </w:tr>
      <w:tr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Em manutenção</w:t>
            </w:r>
          </w:p>
        </w:tc>
        <w:tc>
          <w:tcPr>
            <w:tcW w:type="dxa" w:w="5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Em reparo interno ou externo.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Abertura de chamado/OS.</w:t>
            </w:r>
          </w:p>
        </w:tc>
      </w:tr>
      <w:tr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Em quarentena</w:t>
            </w:r>
          </w:p>
        </w:tc>
        <w:tc>
          <w:tcPr>
            <w:tcW w:type="dxa" w:w="5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Bloqueado por suspeita ou pendência.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Decisão de segurança/TI.</w:t>
            </w:r>
          </w:p>
        </w:tc>
      </w:tr>
      <w:tr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Descartado</w:t>
            </w:r>
          </w:p>
        </w:tc>
        <w:tc>
          <w:tcPr>
            <w:tcW w:type="dxa" w:w="5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Baixado por fim de vida útil ou perda.</w:t>
            </w:r>
          </w:p>
        </w:tc>
        <w:tc>
          <w:tcPr>
            <w:tcW w:type="dxa" w:w="2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Termo de descarte/baixa.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III. RESPONSABILIDADES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Owner do processo (Marcone)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Manter o procedimento atualizado, garantir aplicação e reportar indicadores na governança.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Aprovar exceções e tratar pendências da dependência (Ação #02).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Equipe de TI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Gerar código, etiquetar, cadastrar e atualizar o inventário a cada evento do ciclo de vida.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Executar a conciliação físico x registro e registrar evidências.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Gestores locais / setoriais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Validar a localização dos ativos do setor e indicar ponto focal.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Acionar a TI antes de qualquer movimentação.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Diretoria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Patrocinar a iniciativa e cobrar conformidade nos fóruns de governança.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IV. PROCEDIMENTO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1. Entrada / recebimento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Receber o ativo (novo ou em uso sem etiqueta) e verificar se o </w:t>
      </w:r>
      <w:r>
        <w:rPr>
          <w:b/>
          <w:bCs/>
        </w:rPr>
        <w:t xml:space="preserve">código definitivo</w:t>
      </w:r>
      <w:r>
        <w:t xml:space="preserve"> já existe.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Caso não exista, gerar código único conforme o padrão de inventário (Ação #02).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Caso exista, validar o código contra o registro.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2. Etiquetagem e cadastro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Preparar a etiqueta de alumínio conforme NRM-GTI-03 e fixá-la no ponto padrão do equipamento (ver IT-GTI-03).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Registrar ou atualizar os dados do ativo no inventário (tipo, modelo, série, código, status, local e responsável).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Conferir se os dados físicos e lógicos conferem; havendo divergência, corrigir o cadastro e revalidar antes de liberar.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3. Uso e movimentação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Liberar o ativo para operação somente após cadastro consistente.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cada movimentação, manutenção ou troca de usuário, atualizar o registro e anexar a evidência (FOR-GTI-03-01).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Manutenções e quarentenas devem refletir o status correto no inventário.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4. Descarte / baixa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Registrar a baixa com motivo, data e responsável, preservando o histórico do ativo.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Para descarte, observar sanitização de dados e destinação ambientalmente adequada quando aplicável.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5. Controle e auditoria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Executar auditoria interna mensal por amostragem (conciliação físico x registro).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Abrir ação corretiva em até </w:t>
      </w:r>
      <w:r>
        <w:rPr>
          <w:b/>
          <w:bCs/>
        </w:rPr>
        <w:t xml:space="preserve">5 dias úteis</w:t>
      </w:r>
      <w:r>
        <w:t xml:space="preserve"> para cada divergência (FOR-GTI-03-03).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Revisar o padrão de etiquetagem e o procedimento trimestralmente.</w:t>
      </w:r>
    </w:p>
    <w:p>
      <w:pPr>
        <w:spacing w:after="40"/>
      </w:pPr>
      <w:r>
        <w:t xml:space="preserve"/>
      </w:r>
    </w:p>
    <w:p>
      <w:pPr>
        <w:pBdr>
          <w:left w:val="single" w:color="B8492C" w:sz="18" w:space="8"/>
        </w:pBdr>
        <w:shd w:fill="F7E7B8" w:val="clear"/>
        <w:spacing w:after="120" w:before="80"/>
        <w:ind w:left="120"/>
      </w:pPr>
      <w:r>
        <w:rPr>
          <w:b/>
          <w:bCs/>
          <w:sz w:val="18"/>
          <w:szCs w:val="18"/>
        </w:rPr>
        <w:t xml:space="preserve">Nota: </w:t>
      </w:r>
      <w:r>
        <w:rPr>
          <w:i/>
          <w:iCs/>
          <w:sz w:val="18"/>
          <w:szCs w:val="18"/>
        </w:rPr>
        <w:t xml:space="preserve">Bloqueio processual: nenhuma movimentação ou troca de usuário é considerada concluída sem a atualização do inventário e o respectivo checklist (FOR-GTI-03-01).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V. INDICADORES (KPIs)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80"/>
        <w:gridCol w:w="2400"/>
      </w:tblGrid>
      <w:tr>
        <w:trPr>
          <w:tblHeader/>
        </w:trPr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Fórmula</w:t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</w:tr>
      <w:tr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Cobertura de etiquetagem</w:t>
            </w:r>
          </w:p>
        </w:tc>
        <w:tc>
          <w:tcPr>
            <w:tcW w:type="dxa" w:w="4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Ativos etiquetados ÷ ativos elegíveis</w:t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Acurácia do inventário</w:t>
            </w:r>
          </w:p>
        </w:tc>
        <w:tc>
          <w:tcPr>
            <w:tcW w:type="dxa" w:w="4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Ativos sem divergência ÷ ativos auditados</w:t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≥ 98%</w:t>
            </w:r>
          </w:p>
        </w:tc>
      </w:tr>
      <w:tr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Tempo de atualização de movimentação</w:t>
            </w:r>
          </w:p>
        </w:tc>
        <w:tc>
          <w:tcPr>
            <w:tcW w:type="dxa" w:w="4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Horas entre evento e atualização</w:t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≤ 24 h</w:t>
            </w:r>
          </w:p>
        </w:tc>
      </w:tr>
      <w:tr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Reincidência de divergência por unidade</w:t>
            </w:r>
          </w:p>
        </w:tc>
        <w:tc>
          <w:tcPr>
            <w:tcW w:type="dxa" w:w="4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NC reincidentes ÷ NC do período</w:t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Tendência de queda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VI. REGISTROS E EVIDÊNCIAS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FOR-GTI-03-01 — Checklist de movimentação / troca de usuário.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FOR-GTI-03-02 — Registro de conciliação físico x inventário.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FOR-GTI-03-03 — Registro de não conformidades e ações corretivas.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FOR-GTI-03-04 — Relatório de cobertura de etiquetagem.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FOR-GTI-03-06 — Amostra fotográfica (antes/depois).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VII. REFERÊNCIAS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ITIL 4 — ITAM e SACM.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Plano de Ação #03 — Ciclo de vida e etiquetagem.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NRM-GTI-03 — Padrão de etiquetagem.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IT-GTI-03 — Instrução de trabalho de etiquetagem física.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POP — CICLO DE VIDA DE ATIVOS DE TI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POP-GTI-03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2026-06-01T20:39:41.963Z</dcterms:created>
  <dcterms:modified xsi:type="dcterms:W3CDTF">2026-06-01T20:39:41.963Z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