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9E9E9E"/>
          <w:sz w:val="17"/>
          <w:szCs w:val="17"/>
        </w:rPr>
        <w:t xml:space="preserve">Ecosmetics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PROCEDIMENTO OPERACIONAL PADRÃO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Gestão de Ativos de TI — Inventário, Ciclo de Vida e Etiquetagem · POP-TI-002</w:t>
      </w:r>
    </w:p>
    <w:p>
      <w:pPr>
        <w:pBdr>
          <w:bottom w:val="single" w:color="DDDDDD" w:sz="6" w:space="8"/>
        </w:pBdr>
        <w:spacing w:after="120"/>
      </w:pPr>
      <w:r>
        <w:rPr>
          <w:rFonts w:ascii="Calibri" w:cs="Calibri" w:eastAsia="Calibri" w:hAnsi="Calibri"/>
          <w:color w:val="9E9E9E"/>
          <w:sz w:val="18"/>
          <w:szCs w:val="18"/>
        </w:rPr>
        <w:t xml:space="preserve">01 de junho de 2026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Identificação do Documento</w:t>
      </w:r>
    </w:p>
    <w:p>
      <w:pPr>
        <w:spacing w:after="140"/>
        <w:jc w:val="both"/>
      </w:pPr>
      <w:r>
        <w:rPr>
          <w:rFonts w:ascii="Calibri" w:cs="Calibri" w:eastAsia="Calibri" w:hAnsi="Calibri"/>
        </w:rPr>
        <w:t xml:space="preserve">Este documento estabelece, de forma resumida, o Procedimento Operacional Padrão (POP) para a gestão de ativos de TI da Ecosmetics, abrangendo o inventário com a ferramenta Acronis, a entrada de novos equipamentos, a homologação de compras, o tratamento de software não homologado e o ciclo de vida com etiquetagem física. Consolida, em nível básico, os processos detalhados nos Planos de Ação #01 e #03.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Título:</w:t>
      </w:r>
      <w:r>
        <w:rPr>
          <w:rFonts w:ascii="Calibri" w:cs="Calibri" w:eastAsia="Calibri" w:hAnsi="Calibri"/>
        </w:rPr>
        <w:t xml:space="preserve"> Gestão de Ativos de TI — Inventário, Ciclo de Vida e Etiquetagem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Código:</w:t>
      </w:r>
      <w:r>
        <w:rPr>
          <w:rFonts w:ascii="Calibri" w:cs="Calibri" w:eastAsia="Calibri" w:hAnsi="Calibri"/>
        </w:rPr>
        <w:t xml:space="preserve"> POP-TI-002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Versão:</w:t>
      </w:r>
      <w:r>
        <w:rPr>
          <w:rFonts w:ascii="Calibri" w:cs="Calibri" w:eastAsia="Calibri" w:hAnsi="Calibri"/>
        </w:rPr>
        <w:t xml:space="preserve"> 1.0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Data de Emissão:</w:t>
      </w:r>
      <w:r>
        <w:rPr>
          <w:rFonts w:ascii="Calibri" w:cs="Calibri" w:eastAsia="Calibri" w:hAnsi="Calibri"/>
        </w:rPr>
        <w:t xml:space="preserve"> 01 de junho de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Responsável pela Elaboração:</w:t>
      </w:r>
      <w:r>
        <w:rPr>
          <w:rFonts w:ascii="Calibri" w:cs="Calibri" w:eastAsia="Calibri" w:hAnsi="Calibri"/>
        </w:rPr>
        <w:t xml:space="preserve"> Marcone Barbosa Veiga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Aprovado por:</w:t>
      </w:r>
      <w:r>
        <w:rPr>
          <w:rFonts w:ascii="Calibri" w:cs="Calibri" w:eastAsia="Calibri" w:hAnsi="Calibri"/>
        </w:rPr>
        <w:t xml:space="preserve"> Diretoria Administrativa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Vigência:</w:t>
      </w:r>
      <w:r>
        <w:rPr>
          <w:rFonts w:ascii="Calibri" w:cs="Calibri" w:eastAsia="Calibri" w:hAnsi="Calibri"/>
        </w:rPr>
        <w:t xml:space="preserve"> 2 anos · </w:t>
      </w:r>
      <w:r>
        <w:rPr>
          <w:rFonts w:ascii="Calibri" w:cs="Calibri" w:eastAsia="Calibri" w:hAnsi="Calibri"/>
          <w:b/>
          <w:bCs/>
        </w:rPr>
        <w:t xml:space="preserve">Revisão:</w:t>
      </w:r>
      <w:r>
        <w:rPr>
          <w:rFonts w:ascii="Calibri" w:cs="Calibri" w:eastAsia="Calibri" w:hAnsi="Calibri"/>
        </w:rPr>
        <w:t xml:space="preserve"> anual ou conforme necessidade (ISO 9001:2015)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Organização:</w:t>
      </w:r>
      <w:r>
        <w:rPr>
          <w:rFonts w:ascii="Calibri" w:cs="Calibri" w:eastAsia="Calibri" w:hAnsi="Calibri"/>
        </w:rPr>
        <w:t xml:space="preserve"> Ecosmetics — todas as unidades com ativos de TI (Fábrica, CD e Escritórios)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Objetivo</w:t>
      </w:r>
    </w:p>
    <w:p>
      <w:pPr>
        <w:spacing w:after="140"/>
        <w:jc w:val="both"/>
      </w:pPr>
      <w:r>
        <w:rPr>
          <w:rFonts w:ascii="Calibri" w:cs="Calibri" w:eastAsia="Calibri" w:hAnsi="Calibri"/>
        </w:rPr>
        <w:t xml:space="preserve">Garantir o controle e a rastreabilidade dos ativos de TI ao longo de todo o ciclo de vida, assegurando inventário confiável, conformidade nas aquisições e identificação física padronizada, com evidência auditável.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Escopo</w:t>
      </w:r>
    </w:p>
    <w:p>
      <w:pPr>
        <w:spacing w:after="140"/>
        <w:jc w:val="both"/>
      </w:pPr>
      <w:r>
        <w:rPr>
          <w:rFonts w:ascii="Calibri" w:cs="Calibri" w:eastAsia="Calibri" w:hAnsi="Calibri"/>
        </w:rPr>
        <w:t xml:space="preserve">Aplica-se a todos os ativos de hardware e software de TI da Ecosmetics e às áreas envolvidas (TI, Compras, RH, Financeiro e gestores de área). Não detalha a regularização contratual de licenças nem o tratamento de Shadow IT, objeto de ações específicas.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Referências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ISO 9001:2015 — Sistemas de Gestão da Qualidade.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ITIL 4 — ITAM e SACM (gestão de ativos e configuração).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Política de Segurança da Informação e de Uso de Recursos de TI da Ecosmetics.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Planos de Ação #01 (Inventário com Acronis) e #03 (Ciclo de Vida e Etiquetagem).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Termos e Definições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Ativo de TI:</w:t>
      </w:r>
      <w:r>
        <w:rPr>
          <w:rFonts w:ascii="Calibri" w:cs="Calibri" w:eastAsia="Calibri" w:hAnsi="Calibri"/>
        </w:rPr>
        <w:t xml:space="preserve"> equipamento ou software com valor para a organização sob responsabilidade da 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Inventário:</w:t>
      </w:r>
      <w:r>
        <w:rPr>
          <w:rFonts w:ascii="Calibri" w:cs="Calibri" w:eastAsia="Calibri" w:hAnsi="Calibri"/>
        </w:rPr>
        <w:t xml:space="preserve"> base de registro dos ativos e seus dados obrigatórios.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Software não homologado:</w:t>
      </w:r>
      <w:r>
        <w:rPr>
          <w:rFonts w:ascii="Calibri" w:cs="Calibri" w:eastAsia="Calibri" w:hAnsi="Calibri"/>
        </w:rPr>
        <w:t xml:space="preserve"> aplicação sem aprovação prévia da 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Etiqueta física:</w:t>
      </w:r>
      <w:r>
        <w:rPr>
          <w:rFonts w:ascii="Calibri" w:cs="Calibri" w:eastAsia="Calibri" w:hAnsi="Calibri"/>
        </w:rPr>
        <w:t xml:space="preserve"> identificação permanente em alumínio com código único.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Ciclo de vida:</w:t>
      </w:r>
      <w:r>
        <w:rPr>
          <w:rFonts w:ascii="Calibri" w:cs="Calibri" w:eastAsia="Calibri" w:hAnsi="Calibri"/>
        </w:rPr>
        <w:t xml:space="preserve"> etapas do ativo da aquisição ao descarte.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Responsabilidades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TI:</w:t>
      </w:r>
      <w:r>
        <w:rPr>
          <w:rFonts w:ascii="Calibri" w:cs="Calibri" w:eastAsia="Calibri" w:hAnsi="Calibri"/>
        </w:rPr>
        <w:t xml:space="preserve"> gerir o inventário, aprovar tecnicamente compras, etiquetar e controlar o ciclo de vida.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Compras:</w:t>
      </w:r>
      <w:r>
        <w:rPr>
          <w:rFonts w:ascii="Calibri" w:cs="Calibri" w:eastAsia="Calibri" w:hAnsi="Calibri"/>
        </w:rPr>
        <w:t xml:space="preserve"> adquirir somente com aprovação técnica da TI e fornecedor homologado.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RH:</w:t>
      </w:r>
      <w:r>
        <w:rPr>
          <w:rFonts w:ascii="Calibri" w:cs="Calibri" w:eastAsia="Calibri" w:hAnsi="Calibri"/>
        </w:rPr>
        <w:t xml:space="preserve"> informar setor e usuário nas admissões, transferências e desligamentos.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Gestores de área:</w:t>
      </w:r>
      <w:r>
        <w:rPr>
          <w:rFonts w:ascii="Calibri" w:cs="Calibri" w:eastAsia="Calibri" w:hAnsi="Calibri"/>
        </w:rPr>
        <w:t xml:space="preserve"> validar localização dos ativos e comunicar movimentações.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Diretoria:</w:t>
      </w:r>
      <w:r>
        <w:rPr>
          <w:rFonts w:ascii="Calibri" w:cs="Calibri" w:eastAsia="Calibri" w:hAnsi="Calibri"/>
        </w:rPr>
        <w:t xml:space="preserve"> patrocinar e cobrar conformidade na governança.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 Diretrizes Gerais de Controle e Riscos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Nenhuma compra de TI é concluída sem aprovação técnica prévia da 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Nenhuma movimentação de ativo é concluída sem atualização do inventário.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Todo ativo elegível deve ter agente Acronis ativo, dados obrigatórios e etiqueta física.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Divergências e não conformidades são tratadas com prazo definido e evidência.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 Procedimento (Visão Geral)</w:t>
      </w:r>
    </w:p>
    <w:p>
      <w:pPr>
        <w:spacing w:after="140"/>
        <w:jc w:val="both"/>
      </w:pPr>
      <w:r>
        <w:rPr>
          <w:rFonts w:ascii="Calibri" w:cs="Calibri" w:eastAsia="Calibri" w:hAnsi="Calibri"/>
        </w:rPr>
        <w:t xml:space="preserve">As atividades abaixo descrevem, em nível básico, os processos. Os detalhes operacionais constam nos POPs, runbooks e formulários vinculados (seção 9).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8.1. Inventário com Acronis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Instalar o agente Acronis em todas as máquinas elegíveis, por ondas.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Validar check-in e os dados mínimos (hostname, série, SO, unidade, setor, owner).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Acompanhar a cobertura e tratar falhas em fila de remediação.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8.2. Novas máquinas e homologação de compras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RH informa setor e usuário; Compras abre a requisição.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TI aprova tecnicamente a especificação e o fornecedor homologado.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Após o recebimento, a TI prepara, cadastra no inventário e entrega com termo de responsabilidade.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8.3. Software não homologado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TI identifica, classifica o risco e notifica formalmente o responsável do setor.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Prazo de 15 dias corridos para regularização (licença, substituição ou remoção).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Sem regularização, o setor assina termo de responsabilidade e ciência de risco.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555555"/>
          <w:sz w:val="23"/>
          <w:szCs w:val="23"/>
        </w:rPr>
        <w:t xml:space="preserve">8.4. Ciclo de vida e etiquetagem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Gerar/validar o código único e fixar a etiqueta de alumínio no ponto padrão.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Atualizar o inventário a cada movimentação, manutenção ou troca de usuário.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</w:rPr>
        <w:t xml:space="preserve">Conferir físico x registro por amostragem e tratar divergências.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 Registros e Documentos Vinculados</w:t>
      </w:r>
    </w:p>
    <w:p>
      <w:pPr>
        <w:spacing w:after="140"/>
        <w:jc w:val="both"/>
      </w:pPr>
      <w:r>
        <w:rPr>
          <w:rFonts w:ascii="Calibri" w:cs="Calibri" w:eastAsia="Calibri" w:hAnsi="Calibri"/>
        </w:rPr>
        <w:t xml:space="preserve">Os processos acima são apoiados pelos seguintes documentos (detalhamento completo nos respectivos arquivos):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Processo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Documentos vinculados</w:t>
            </w:r>
          </w:p>
        </w:tc>
      </w:tr>
      <w:t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Inventário com Acronis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RUN-GTI-01, FOR-GTI-01-02, FOR-GTI-01-03</w:t>
            </w:r>
          </w:p>
        </w:tc>
      </w:tr>
      <w:t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Novas máquinas / compras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POP-GTI-01 (novas máquinas e homologação), FOR-GTI-01-01, FOR-GTI-01-07</w:t>
            </w:r>
          </w:p>
        </w:tc>
      </w:tr>
      <w:t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 não homologado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POP-GTI-01, MOD-GTI-01-01, MOD-GTI-01-02, FOR-GTI-01-04</w:t>
            </w:r>
          </w:p>
        </w:tc>
      </w:tr>
      <w:t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e etiquetagem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POP-GTI-03, NRM-GTI-03, IT-GTI-03, FOR-GTI-03-01 a 06</w:t>
            </w:r>
          </w:p>
        </w:tc>
      </w:tr>
      <w:tr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Governança e indicadores</w:t>
            </w:r>
          </w:p>
        </w:tc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RACI-GTI-01, RACI-GTI-03, FOR-GTI-01-06, FOR-GTI-03-13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 Indicadores de Desempenho e Monitoramento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6160"/>
        <w:gridCol w:w="3200"/>
      </w:tblGrid>
      <w:tr>
        <w:trPr>
          <w:tblHeader/>
        </w:trPr>
        <w:tc>
          <w:tcPr>
            <w:tcW w:type="dxa" w:w="61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Indicador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Cobertura do agente Acronis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Cobertura de etiquetagem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Acurácia / completude do inventário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 98%</w:t>
            </w:r>
          </w:p>
        </w:tc>
      </w:tr>
      <w:tr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Compras de TI com aprovação técnica prévia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1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Ativos com setor/usuário vinculados</w:t>
            </w:r>
          </w:p>
        </w:tc>
        <w:tc>
          <w:tcPr>
            <w:tcW w:type="dxa" w:w="3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≥ 98%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11. Tratamento de Não Conformidades e Melhoria Contínua</w:t>
      </w:r>
    </w:p>
    <w:p>
      <w:pPr>
        <w:spacing w:after="140"/>
        <w:jc w:val="both"/>
      </w:pPr>
      <w:r>
        <w:rPr>
          <w:rFonts w:ascii="Calibri" w:cs="Calibri" w:eastAsia="Calibri" w:hAnsi="Calibri"/>
        </w:rPr>
        <w:t xml:space="preserve">Divergências e não conformidades são registradas, tratadas com ação corretiva e prazo (até 5 dias úteis para etiquetagem) e acompanhadas na governança. Os procedimentos e padrões são revisados periodicamente, incorporando lições aprendidas.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12. Controle de Revisões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100"/>
        <w:gridCol w:w="2000"/>
        <w:gridCol w:w="4060"/>
        <w:gridCol w:w="2200"/>
      </w:tblGrid>
      <w:tr>
        <w:trPr>
          <w:tblHeader/>
        </w:trPr>
        <w:tc>
          <w:tcPr>
            <w:tcW w:type="dxa" w:w="1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Versão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Responsável / Aprovação</w:t>
            </w:r>
          </w:p>
        </w:tc>
      </w:tr>
      <w:t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de junho de 2026</w:t>
            </w:r>
          </w:p>
        </w:tc>
        <w:tc>
          <w:tcPr>
            <w:tcW w:type="dxa" w:w="406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Emissão inicial do procedimento consolidado (básico).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Marcone Veiga / Diretoria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2026-06-02T00:32:03.991Z</dcterms:created>
  <dcterms:modified xsi:type="dcterms:W3CDTF">2026-06-02T00:32:03.991Z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