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Analysis of Peanut Variety Performance in a State Variety Testing Program</w:t>
      </w:r>
    </w:p>
    <w:p>
      <w:pPr>
        <w:pStyle w:val="Author"/>
      </w:pPr>
    </w:p>
    <w:p>
      <w:pPr>
        <w:pStyle w:val="FirstParagraph"/>
      </w:pPr>
      <w:r>
        <w:rPr>
          <w:b/>
          <w:bCs/>
        </w:rPr>
        <w:t xml:space="preserve">Authors</w:t>
      </w:r>
    </w:p>
    <w:p>
      <w:pPr>
        <w:pStyle w:val="Compact"/>
        <w:numPr>
          <w:ilvl w:val="0"/>
          <w:numId w:val="1001"/>
        </w:numPr>
      </w:pPr>
      <w:r>
        <w:t xml:space="preserve">Santiago Emil A. Joson IV</w:t>
      </w:r>
      <m:oMath>
        <m:sSup>
          <m:e>
            <m:r>
              <m:t>​</m:t>
            </m:r>
          </m:e>
          <m:sup>
            <m:r>
              <m:t>1</m:t>
            </m:r>
          </m:sup>
        </m:sSup>
      </m:oMath>
    </w:p>
    <w:p>
      <w:pPr>
        <w:pStyle w:val="FirstParagraph"/>
      </w:pPr>
      <w:r>
        <w:rPr>
          <w:b/>
          <w:bCs/>
        </w:rPr>
        <w:t xml:space="preserve">Author affiliations</w:t>
      </w:r>
    </w:p>
    <w:p>
      <w:pPr>
        <w:pStyle w:val="Compact"/>
        <w:numPr>
          <w:ilvl w:val="0"/>
          <w:numId w:val="1002"/>
        </w:numPr>
      </w:pPr>
      <w:r>
        <w:t xml:space="preserve">Department of Plant Pathology, University of Georgia, Griffin, GA, USA.</w:t>
      </w:r>
    </w:p>
    <w:p>
      <w:r>
        <w:br w:type="page"/>
      </w:r>
    </w:p>
    <w:bookmarkStart w:id="20" w:name="summaryabstract"/>
    <w:p>
      <w:pPr>
        <w:pStyle w:val="Heading1"/>
      </w:pPr>
      <w:r>
        <w:t xml:space="preserve">1. Summary/Abstract</w:t>
      </w:r>
    </w:p>
    <w:p>
      <w:pPr>
        <w:pStyle w:val="FirstParagraph"/>
      </w:pPr>
      <w:r>
        <w:rPr>
          <w:i/>
          <w:iCs/>
        </w:rPr>
        <w:t xml:space="preserve">Write a summary of your project.</w:t>
      </w:r>
    </w:p>
    <w:p>
      <w:pPr>
        <w:pStyle w:val="BodyText"/>
      </w:pPr>
      <w:r>
        <w:rPr>
          <w:i/>
          <w:iCs/>
        </w:rPr>
        <w:t xml:space="preserve">It is recommended to use a structured abstract with Background/Methods/Results/Discussion sections.</w:t>
      </w:r>
    </w:p>
    <w:p>
      <w:r>
        <w:br w:type="page"/>
      </w:r>
    </w:p>
    <w:bookmarkEnd w:id="20"/>
    <w:bookmarkStart w:id="25"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Peanut variety testing programs are conducted to evaluate the performance of different cultivars under regional growing conditions. These trials provide valuable information to growers, breeders, and agricultural researchers by comparing yield potential, disease resistance, and other agronomic traits. Understanding variation among peanut varieties can inform cultivar selection and management decisions that improve productivity and profitability.</w:t>
      </w:r>
    </w:p>
    <w:p>
      <w:pPr>
        <w:pStyle w:val="BodyText"/>
      </w:pPr>
      <w:r>
        <w:t xml:space="preserve">The objective of this analysis was to examine a dataset obtained from a state peanut variety testing facility and identify patterns, trends, or statistically significant differences among peanut varieties. Specifically, this report aims to evaluate how selected variables (such as irrigation, location, yield) vary across cultivars and determine whether meaningful differences exist.</w:t>
      </w:r>
    </w:p>
    <w:bookmarkEnd w:id="21"/>
    <w:bookmarkStart w:id="23" w:name="description-of-data-and-data-source"/>
    <w:p>
      <w:pPr>
        <w:pStyle w:val="Heading2"/>
      </w:pPr>
      <w:r>
        <w:t xml:space="preserve">2.2 Description of data and data source</w:t>
      </w:r>
    </w:p>
    <w:p>
      <w:pPr>
        <w:pStyle w:val="FirstParagraph"/>
      </w:pPr>
      <w:r>
        <w:t xml:space="preserve">The dataset was obtained from the Georgia State Variety Testing program. The dataset has 18,117 rows and 38 columns of different observations.</w:t>
      </w:r>
    </w:p>
    <w:tbl>
      <w:tblPr>
        <w:tblStyle w:val="Table"/>
        <w:tblW w:type="pct" w:w="5000"/>
        <w:tblLayout w:type="fixed"/>
        <w:tblLook w:firstRow="0" w:lastRow="0" w:firstColumn="0" w:lastColumn="0" w:noHBand="0" w:noVBand="0" w:val="0000"/>
      </w:tblPr>
      <w:tblGrid>
        <w:gridCol w:w="7920"/>
      </w:tblGrid>
      <w:tr>
        <w:tc>
          <w:tcPr/>
          <w:bookmarkStart w:id="22" w:name="tbl-resulttable1"/>
          <w:p>
            <w:pPr>
              <w:jc w:val="center"/>
            </w:pPr>
            <w:pPr>
              <w:jc w:val="left"/>
              <w:spacing w:before="200"/>
              <w:pStyle w:val="ImageCaption"/>
            </w:pPr>
            <w:r>
              <w:t xml:space="preserve">Table 1: Raw dataset variables</w:t>
            </w:r>
          </w:p>
          <w:tbl>
            <w:tblPr>
              <w:tblStyle w:val="Table"/>
              <w:tblW w:type="auto" w:w="0"/>
              <w:tblLook w:firstRow="0" w:lastRow="0" w:firstColumn="0" w:lastColumn="0" w:noHBand="0" w:noVBand="0" w:val="0000"/>
            </w:tblPr>
            <w:tblGrid>
              <w:gridCol w:w="3960"/>
              <w:gridCol w:w="3960"/>
            </w:tblGrid>
            <w:tr>
              <w:tc>
                <w:tcPr/>
                <w:p>
                  <w:pPr>
                    <w:pStyle w:val="Compact"/>
                    <w:jc w:val="left"/>
                    <w:jc w:val="center"/>
                  </w:pPr>
                  <w:r>
                    <w:t xml:space="preserve">treatment_key</w:t>
                  </w:r>
                </w:p>
              </w:tc>
              <w:tc>
                <w:tcPr/>
                <w:p>
                  <w:pPr>
                    <w:pStyle w:val="Compact"/>
                    <w:jc w:val="left"/>
                    <w:jc w:val="center"/>
                  </w:pPr>
                  <w:r>
                    <w:t xml:space="preserve">seed_weight_100</w:t>
                  </w:r>
                </w:p>
              </w:tc>
            </w:tr>
            <w:tr>
              <w:tc>
                <w:tcPr/>
                <w:p>
                  <w:pPr>
                    <w:pStyle w:val="Compact"/>
                    <w:jc w:val="left"/>
                    <w:jc w:val="center"/>
                  </w:pPr>
                  <w:r>
                    <w:t xml:space="preserve">year</w:t>
                  </w:r>
                </w:p>
              </w:tc>
              <w:tc>
                <w:tcPr/>
                <w:p>
                  <w:pPr>
                    <w:pStyle w:val="Compact"/>
                    <w:jc w:val="left"/>
                    <w:jc w:val="center"/>
                  </w:pPr>
                  <w:r>
                    <w:t xml:space="preserve">seed_per_pound</w:t>
                  </w:r>
                </w:p>
              </w:tc>
            </w:tr>
            <w:tr>
              <w:tc>
                <w:tcPr/>
                <w:p>
                  <w:pPr>
                    <w:pStyle w:val="Compact"/>
                    <w:jc w:val="left"/>
                    <w:jc w:val="center"/>
                  </w:pPr>
                  <w:r>
                    <w:t xml:space="preserve">location</w:t>
                  </w:r>
                </w:p>
              </w:tc>
              <w:tc>
                <w:tcPr/>
                <w:p>
                  <w:pPr>
                    <w:pStyle w:val="Compact"/>
                    <w:jc w:val="left"/>
                    <w:jc w:val="center"/>
                  </w:pPr>
                  <w:r>
                    <w:t xml:space="preserve">peanut_yield</w:t>
                  </w:r>
                </w:p>
              </w:tc>
            </w:tr>
            <w:tr>
              <w:tc>
                <w:tcPr/>
                <w:p>
                  <w:pPr>
                    <w:pStyle w:val="Compact"/>
                    <w:jc w:val="left"/>
                    <w:jc w:val="center"/>
                  </w:pPr>
                  <w:r>
                    <w:t xml:space="preserve">test_id</w:t>
                  </w:r>
                </w:p>
              </w:tc>
              <w:tc>
                <w:tcPr/>
                <w:p>
                  <w:pPr>
                    <w:pStyle w:val="Compact"/>
                    <w:jc w:val="left"/>
                    <w:jc w:val="center"/>
                  </w:pPr>
                  <w:r>
                    <w:t xml:space="preserve">moisture</w:t>
                  </w:r>
                </w:p>
              </w:tc>
            </w:tr>
            <w:tr>
              <w:tc>
                <w:tcPr/>
                <w:p>
                  <w:pPr>
                    <w:pStyle w:val="Compact"/>
                    <w:jc w:val="left"/>
                    <w:jc w:val="center"/>
                  </w:pPr>
                  <w:r>
                    <w:t xml:space="preserve">experiment_name</w:t>
                  </w:r>
                </w:p>
              </w:tc>
              <w:tc>
                <w:tcPr/>
                <w:p>
                  <w:pPr>
                    <w:pStyle w:val="Compact"/>
                    <w:jc w:val="left"/>
                    <w:jc w:val="center"/>
                  </w:pPr>
                  <w:r>
                    <w:t xml:space="preserve">tsmk</w:t>
                  </w:r>
                </w:p>
              </w:tc>
            </w:tr>
            <w:tr>
              <w:tc>
                <w:tcPr/>
                <w:p>
                  <w:pPr>
                    <w:pStyle w:val="Compact"/>
                    <w:jc w:val="left"/>
                    <w:jc w:val="center"/>
                  </w:pPr>
                  <w:r>
                    <w:t xml:space="preserve">watered</w:t>
                  </w:r>
                </w:p>
              </w:tc>
              <w:tc>
                <w:tcPr/>
                <w:p>
                  <w:pPr>
                    <w:pStyle w:val="Compact"/>
                    <w:jc w:val="left"/>
                    <w:jc w:val="center"/>
                  </w:pPr>
                  <w:r>
                    <w:t xml:space="preserve">ok</w:t>
                  </w:r>
                </w:p>
              </w:tc>
            </w:tr>
            <w:tr>
              <w:tc>
                <w:tcPr/>
                <w:p>
                  <w:pPr>
                    <w:pStyle w:val="Compact"/>
                    <w:jc w:val="left"/>
                    <w:jc w:val="center"/>
                  </w:pPr>
                  <w:r>
                    <w:t xml:space="preserve">planting_date</w:t>
                  </w:r>
                </w:p>
              </w:tc>
              <w:tc>
                <w:tcPr/>
                <w:p>
                  <w:pPr>
                    <w:pStyle w:val="Compact"/>
                    <w:jc w:val="left"/>
                    <w:jc w:val="center"/>
                  </w:pPr>
                  <w:r>
                    <w:t xml:space="preserve">dk</w:t>
                  </w:r>
                </w:p>
              </w:tc>
            </w:tr>
            <w:tr>
              <w:tc>
                <w:tcPr/>
                <w:p>
                  <w:pPr>
                    <w:pStyle w:val="Compact"/>
                    <w:jc w:val="left"/>
                    <w:jc w:val="center"/>
                  </w:pPr>
                  <w:r>
                    <w:t xml:space="preserve">digging_date</w:t>
                  </w:r>
                </w:p>
              </w:tc>
              <w:tc>
                <w:tcPr/>
                <w:p>
                  <w:pPr>
                    <w:pStyle w:val="Compact"/>
                    <w:jc w:val="left"/>
                    <w:jc w:val="center"/>
                  </w:pPr>
                  <w:r>
                    <w:t xml:space="preserve">elk</w:t>
                  </w:r>
                </w:p>
              </w:tc>
            </w:tr>
            <w:tr>
              <w:tc>
                <w:tcPr/>
                <w:p>
                  <w:pPr>
                    <w:pStyle w:val="Compact"/>
                    <w:jc w:val="left"/>
                    <w:jc w:val="center"/>
                  </w:pPr>
                  <w:r>
                    <w:t xml:space="preserve">test_entry</w:t>
                  </w:r>
                </w:p>
              </w:tc>
              <w:tc>
                <w:tcPr/>
                <w:p>
                  <w:pPr>
                    <w:pStyle w:val="Compact"/>
                    <w:jc w:val="left"/>
                    <w:jc w:val="center"/>
                  </w:pPr>
                  <w:r>
                    <w:t xml:space="preserve">fancy</w:t>
                  </w:r>
                </w:p>
              </w:tc>
            </w:tr>
            <w:tr>
              <w:tc>
                <w:tcPr/>
                <w:p>
                  <w:pPr>
                    <w:pStyle w:val="Compact"/>
                    <w:jc w:val="left"/>
                    <w:jc w:val="center"/>
                  </w:pPr>
                  <w:r>
                    <w:t xml:space="preserve">variety_key</w:t>
                  </w:r>
                </w:p>
              </w:tc>
              <w:tc>
                <w:tcPr/>
                <w:p>
                  <w:pPr>
                    <w:pStyle w:val="Compact"/>
                    <w:jc w:val="left"/>
                    <w:jc w:val="center"/>
                  </w:pPr>
                  <w:r>
                    <w:t xml:space="preserve">maturity_code</w:t>
                  </w:r>
                </w:p>
              </w:tc>
            </w:tr>
            <w:tr>
              <w:tc>
                <w:tcPr/>
                <w:p>
                  <w:pPr>
                    <w:pStyle w:val="Compact"/>
                    <w:jc w:val="left"/>
                    <w:jc w:val="center"/>
                  </w:pPr>
                  <w:r>
                    <w:t xml:space="preserve">variety</w:t>
                  </w:r>
                </w:p>
              </w:tc>
              <w:tc>
                <w:tcPr/>
                <w:p>
                  <w:pPr>
                    <w:pStyle w:val="Compact"/>
                    <w:jc w:val="left"/>
                    <w:jc w:val="center"/>
                  </w:pPr>
                  <w:r>
                    <w:t xml:space="preserve">maturity</w:t>
                  </w:r>
                </w:p>
              </w:tc>
            </w:tr>
            <w:tr>
              <w:tc>
                <w:tcPr/>
                <w:p>
                  <w:pPr>
                    <w:pStyle w:val="Compact"/>
                    <w:jc w:val="left"/>
                    <w:jc w:val="center"/>
                  </w:pPr>
                  <w:r>
                    <w:t xml:space="preserve">treatment</w:t>
                  </w:r>
                </w:p>
              </w:tc>
              <w:tc>
                <w:tcPr/>
                <w:p>
                  <w:pPr>
                    <w:pStyle w:val="Compact"/>
                    <w:jc w:val="left"/>
                    <w:jc w:val="center"/>
                  </w:pPr>
                  <w:r>
                    <w:t xml:space="preserve">market_type</w:t>
                  </w:r>
                </w:p>
              </w:tc>
            </w:tr>
            <w:tr>
              <w:tc>
                <w:tcPr/>
                <w:p>
                  <w:pPr>
                    <w:pStyle w:val="Compact"/>
                    <w:jc w:val="left"/>
                    <w:jc w:val="center"/>
                  </w:pPr>
                  <w:r>
                    <w:t xml:space="preserve">block</w:t>
                  </w:r>
                </w:p>
              </w:tc>
              <w:tc>
                <w:tcPr/>
                <w:p>
                  <w:pPr>
                    <w:pStyle w:val="Compact"/>
                    <w:jc w:val="left"/>
                    <w:jc w:val="center"/>
                  </w:pPr>
                  <w:r>
                    <w:t xml:space="preserve">plot_harvest_length</w:t>
                  </w:r>
                </w:p>
              </w:tc>
            </w:tr>
            <w:tr>
              <w:tc>
                <w:tcPr/>
                <w:p>
                  <w:pPr>
                    <w:pStyle w:val="Compact"/>
                    <w:jc w:val="left"/>
                    <w:jc w:val="center"/>
                  </w:pPr>
                  <w:r>
                    <w:t xml:space="preserve">plot_number</w:t>
                  </w:r>
                </w:p>
              </w:tc>
              <w:tc>
                <w:tcPr/>
                <w:p>
                  <w:pPr>
                    <w:pStyle w:val="Compact"/>
                    <w:jc w:val="left"/>
                    <w:jc w:val="center"/>
                  </w:pPr>
                  <w:r>
                    <w:t xml:space="preserve">plot_harvest_width</w:t>
                  </w:r>
                </w:p>
              </w:tc>
            </w:tr>
            <w:tr>
              <w:tc>
                <w:tcPr/>
                <w:p>
                  <w:pPr>
                    <w:pStyle w:val="Compact"/>
                    <w:jc w:val="left"/>
                    <w:jc w:val="center"/>
                  </w:pPr>
                  <w:r>
                    <w:t xml:space="preserve">plot_weight</w:t>
                  </w:r>
                </w:p>
              </w:tc>
              <w:tc>
                <w:tcPr/>
                <w:p>
                  <w:pPr>
                    <w:pStyle w:val="Compact"/>
                    <w:jc w:val="left"/>
                    <w:jc w:val="center"/>
                  </w:pPr>
                  <w:r>
                    <w:t xml:space="preserve">plots_per_acre</w:t>
                  </w:r>
                </w:p>
              </w:tc>
            </w:tr>
            <w:tr>
              <w:tc>
                <w:tcPr/>
                <w:p>
                  <w:pPr>
                    <w:pStyle w:val="Compact"/>
                    <w:jc w:val="left"/>
                    <w:jc w:val="center"/>
                  </w:pPr>
                  <w:r>
                    <w:t xml:space="preserve">total_seed_weight</w:t>
                  </w:r>
                </w:p>
              </w:tc>
              <w:tc>
                <w:tcPr/>
                <w:p>
                  <w:pPr>
                    <w:pStyle w:val="Compact"/>
                    <w:jc w:val="left"/>
                    <w:jc w:val="center"/>
                  </w:pPr>
                  <w:r>
                    <w:t xml:space="preserve">plot_row_number</w:t>
                  </w:r>
                </w:p>
              </w:tc>
            </w:tr>
            <w:tr>
              <w:tc>
                <w:tcPr/>
                <w:p>
                  <w:pPr>
                    <w:pStyle w:val="Compact"/>
                    <w:jc w:val="left"/>
                    <w:jc w:val="center"/>
                  </w:pPr>
                  <w:r>
                    <w:t xml:space="preserve">total_seed_count</w:t>
                  </w:r>
                </w:p>
              </w:tc>
              <w:tc>
                <w:tcPr/>
                <w:p>
                  <w:pPr>
                    <w:pStyle w:val="Compact"/>
                    <w:jc w:val="left"/>
                    <w:jc w:val="center"/>
                  </w:pPr>
                  <w:r>
                    <w:t xml:space="preserve">plot_column_number</w:t>
                  </w:r>
                </w:p>
              </w:tc>
            </w:tr>
            <w:tr>
              <w:tc>
                <w:tcPr/>
                <w:p>
                  <w:pPr>
                    <w:pStyle w:val="Compact"/>
                    <w:jc w:val="left"/>
                    <w:jc w:val="center"/>
                  </w:pPr>
                  <w:r>
                    <w:t xml:space="preserve">calc_seed_weight_200</w:t>
                  </w:r>
                </w:p>
              </w:tc>
              <w:tc>
                <w:tcPr/>
                <w:p>
                  <w:pPr>
                    <w:pStyle w:val="Compact"/>
                    <w:jc w:val="left"/>
                    <w:jc w:val="center"/>
                  </w:pPr>
                  <w:r>
                    <w:t xml:space="preserve">notes</w:t>
                  </w:r>
                </w:p>
              </w:tc>
            </w:tr>
            <w:tr>
              <w:tc>
                <w:tcPr/>
                <w:p>
                  <w:pPr>
                    <w:pStyle w:val="Compact"/>
                    <w:jc w:val="left"/>
                    <w:jc w:val="center"/>
                  </w:pPr>
                  <w:r>
                    <w:t xml:space="preserve">seed_weight_200</w:t>
                  </w:r>
                </w:p>
              </w:tc>
              <w:tc>
                <w:tcPr/>
                <w:p>
                  <w:pPr>
                    <w:pStyle w:val="Compact"/>
                    <w:jc w:val="left"/>
                    <w:jc w:val="center"/>
                  </w:pPr>
                  <w:r>
                    <w:t xml:space="preserve">plots</w:t>
                  </w:r>
                </w:p>
              </w:tc>
            </w:tr>
          </w:tbl>
          <w:bookmarkEnd w:id="22"/>
          <w:p/>
        </w:tc>
      </w:tr>
    </w:tbl>
    <w:bookmarkEnd w:id="23"/>
    <w:bookmarkStart w:id="24" w:name="questionshypotheses-to-be-addressed"/>
    <w:p>
      <w:pPr>
        <w:pStyle w:val="Heading2"/>
      </w:pPr>
      <w:r>
        <w:t xml:space="preserve">2.3 Questions/Hypotheses to be addressed</w:t>
      </w:r>
    </w:p>
    <w:p>
      <w:pPr>
        <w:pStyle w:val="FirstParagraph"/>
      </w:pPr>
      <w:r>
        <w:t xml:space="preserve">With the scope of this dataset, I will try to answer the following questions:</w:t>
      </w:r>
    </w:p>
    <w:p>
      <w:pPr>
        <w:numPr>
          <w:ilvl w:val="0"/>
          <w:numId w:val="1003"/>
        </w:numPr>
      </w:pPr>
      <w:r>
        <w:t xml:space="preserve">Do peanut varieties differ significantly in yield?</w:t>
      </w:r>
    </w:p>
    <w:p>
      <w:pPr>
        <w:numPr>
          <w:ilvl w:val="0"/>
          <w:numId w:val="1003"/>
        </w:numPr>
      </w:pPr>
      <w:r>
        <w:t xml:space="preserve">Does location significantly affect yield?</w:t>
      </w:r>
    </w:p>
    <w:p>
      <w:pPr>
        <w:numPr>
          <w:ilvl w:val="0"/>
          <w:numId w:val="1003"/>
        </w:numPr>
      </w:pPr>
      <w:r>
        <w:t xml:space="preserve">Does irrigation significantly affect yield?</w:t>
      </w:r>
    </w:p>
    <w:p>
      <w:r>
        <w:br w:type="page"/>
      </w:r>
    </w:p>
    <w:bookmarkEnd w:id="24"/>
    <w:bookmarkEnd w:id="25"/>
    <w:bookmarkStart w:id="34" w:name="methods"/>
    <w:p>
      <w:pPr>
        <w:pStyle w:val="Heading1"/>
      </w:pPr>
      <w:r>
        <w:t xml:space="preserve">3. Methods</w:t>
      </w:r>
    </w:p>
    <w:p>
      <w:pPr>
        <w:pStyle w:val="FirstParagraph"/>
      </w:pPr>
      <w:r>
        <w:rPr>
          <w:i/>
          <w:iCs/>
        </w:rPr>
        <w:t xml:space="preserve">Describe your methods. That should describe the data, the cleaning processes, and the analysis approaches. You might want to provide a shorter description here and all the details in the supplement.</w:t>
      </w:r>
    </w:p>
    <w:bookmarkStart w:id="30" w:name="schematic-of-workflow"/>
    <w:p>
      <w:pPr>
        <w:pStyle w:val="Heading2"/>
      </w:pPr>
      <w:r>
        <w:t xml:space="preserve">3.1 Schematic of workflow</w:t>
      </w:r>
    </w:p>
    <w:p>
      <w:pPr>
        <w:pStyle w:val="FirstParagraph"/>
      </w:pPr>
      <w:r>
        <w:t xml:space="preserve">Sometimes you might want to show a schematic diagram/figure that was not created with code (if you can do it with code, do it).</w:t>
      </w:r>
      <w:r>
        <w:t xml:space="preserve"> </w:t>
      </w:r>
      <w:hyperlink w:anchor="fig-schematic">
        <w:r>
          <w:rPr>
            <w:rStyle w:val="Hyperlink"/>
          </w:rPr>
          <w:t xml:space="preserve">Figure 1</w:t>
        </w:r>
      </w:hyperlink>
      <w:r>
        <w:t xml:space="preserve"> </w:t>
      </w:r>
      <w:r>
        <w:t xml:space="preserve">is an example of some - completely random/unrelated - schematic that was generated with BioRender.</w:t>
      </w:r>
      <w:r>
        <w:t xml:space="preserve"> </w:t>
      </w:r>
      <w:r>
        <w:t xml:space="preserve">We store those figures in the</w:t>
      </w:r>
      <w:r>
        <w:t xml:space="preserve"> </w:t>
      </w:r>
      <w:r>
        <w:rPr>
          <w:rStyle w:val="VerbatimChar"/>
        </w:rPr>
        <w:t xml:space="preserve">assets</w:t>
      </w:r>
      <w:r>
        <w:t xml:space="preserve"> </w:t>
      </w:r>
      <w:r>
        <w:t xml:space="preserve">folder.</w:t>
      </w:r>
    </w:p>
    <w:tbl>
      <w:tblPr>
        <w:tblStyle w:val="Table"/>
        <w:tblW w:type="pct" w:w="5000"/>
        <w:tblLayout w:type="fixed"/>
        <w:tblLook w:firstRow="0" w:lastRow="0" w:firstColumn="0" w:lastColumn="0" w:noHBand="0" w:noVBand="0" w:val="0000"/>
      </w:tblPr>
      <w:tblGrid>
        <w:gridCol w:w="7920"/>
      </w:tblGrid>
      <w:tr>
        <w:tc>
          <w:tcPr/>
          <w:bookmarkStart w:id="29" w:name="fig-schematic"/>
          <w:p>
            <w:pPr>
              <w:pStyle w:val="Compact"/>
              <w:jc w:val="center"/>
            </w:pPr>
            <w:r>
              <w:drawing>
                <wp:inline>
                  <wp:extent cx="5334000" cy="4978399"/>
                  <wp:effectExtent b="0" l="0" r="0" t="0"/>
                  <wp:docPr descr="" title="" id="27" name="Picture"/>
                  <a:graphic>
                    <a:graphicData uri="http://schemas.openxmlformats.org/drawingml/2006/picture">
                      <pic:pic>
                        <pic:nvPicPr>
                          <pic:cNvPr descr="../../assets/antigen-recognition.png" id="28" name="Picture"/>
                          <pic:cNvPicPr>
                            <a:picLocks noChangeArrowheads="1" noChangeAspect="1"/>
                          </pic:cNvPicPr>
                        </pic:nvPicPr>
                        <pic:blipFill>
                          <a:blip r:embed="rId26"/>
                          <a:stretch>
                            <a:fillRect/>
                          </a:stretch>
                        </pic:blipFill>
                        <pic:spPr bwMode="auto">
                          <a:xfrm>
                            <a:off x="0" y="0"/>
                            <a:ext cx="5334000" cy="4978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figure that is manually generated and shows some overview/schematic. This has nothing to do with the data, it’s just a random one from one of our projects I found and placed here.</w:t>
            </w:r>
          </w:p>
          <w:bookmarkEnd w:id="29"/>
        </w:tc>
      </w:tr>
    </w:tbl>
    <w:bookmarkEnd w:id="30"/>
    <w:bookmarkStart w:id="31" w:name="data-acquisition"/>
    <w:p>
      <w:pPr>
        <w:pStyle w:val="Heading2"/>
      </w:pPr>
      <w:r>
        <w:t xml:space="preserve">3.2 Data acquisition</w:t>
      </w:r>
    </w:p>
    <w:p>
      <w:pPr>
        <w:pStyle w:val="FirstParagraph"/>
      </w:pPr>
      <w:r>
        <w:rPr>
          <w:i/>
          <w:iCs/>
        </w:rPr>
        <w:t xml:space="preserve">As applicable, explain where and how you got the data. If you directly import the data from an online source, you can combine this section with the next.</w:t>
      </w:r>
    </w:p>
    <w:bookmarkEnd w:id="31"/>
    <w:bookmarkStart w:id="32" w:name="data-import-and-cleaning"/>
    <w:p>
      <w:pPr>
        <w:pStyle w:val="Heading2"/>
      </w:pPr>
      <w:r>
        <w:t xml:space="preserve">3.3 Data import and cleaning</w:t>
      </w:r>
    </w:p>
    <w:p>
      <w:pPr>
        <w:pStyle w:val="FirstParagraph"/>
      </w:pPr>
      <w:r>
        <w:t xml:space="preserve">Missing information in the form of whitespace and -9 were converted to missing data. Columns that contained numeric information (e.g., total_seed_weight, seed_per_pound, etc.) but classified as characters were converted to numeric data. A subset of the data was created to contain variables necessary for this study: year, location, watered, variety, peanut_yield. Peanut variety names were converted to numbers to keep specific variety performance confidential as requested by the data provider. Lastly, entries with missing data were removed and only varieties grown in all four (4) locations were kept.</w:t>
      </w:r>
    </w:p>
    <w:bookmarkEnd w:id="32"/>
    <w:bookmarkStart w:id="33" w:name="statistical-analysis"/>
    <w:p>
      <w:pPr>
        <w:pStyle w:val="Heading2"/>
      </w:pPr>
      <w:r>
        <w:t xml:space="preserve">3.4 Statistical analysis</w:t>
      </w:r>
    </w:p>
    <w:p>
      <w:pPr>
        <w:pStyle w:val="FirstParagraph"/>
      </w:pPr>
      <w:r>
        <w:t xml:space="preserve">Peanut yield was analyzed as a continuous response variable to evaluate the effects of variety, location, and irrigation treatment. Differences in yield among peanut varieties and among locations were assessed using analysis of variance (ANOVA). To account for environmental variation, models included year and location effects where appropriate. Differences in yield between irrigated and non-irrigated conditions were evaluated using a two-sample t-test. All statistical analyses were assessed at α = 0.05.</w:t>
      </w:r>
    </w:p>
    <w:p>
      <w:r>
        <w:br w:type="page"/>
      </w:r>
    </w:p>
    <w:bookmarkEnd w:id="33"/>
    <w:bookmarkEnd w:id="34"/>
    <w:bookmarkStart w:id="58" w:name="results"/>
    <w:p>
      <w:pPr>
        <w:pStyle w:val="Heading1"/>
      </w:pPr>
      <w:r>
        <w:t xml:space="preserve">4. Results</w:t>
      </w:r>
    </w:p>
    <w:bookmarkStart w:id="52" w:name="exploratorydescriptive-analysis"/>
    <w:p>
      <w:pPr>
        <w:pStyle w:val="Heading2"/>
      </w:pPr>
      <w:r>
        <w:t xml:space="preserve">4.1 Exploratory/Descriptive analysis</w:t>
      </w:r>
    </w:p>
    <w:p>
      <w:pPr>
        <w:pStyle w:val="FirstParagraph"/>
      </w:pPr>
      <w:r>
        <w:t xml:space="preserve">Peanut yield varied widely among the tested varieties (Figure 2). Median yield values spanned a broad range, from 799 to 9,171 lb/acre. While many varieties clustered around intermediate yields (~4,000–6,000 lb/acre), several varieties exhibited consistently higher or lower performance. Substantial within-variety variability was also observed, as indicated by the spread of the boxplots and presence of outliers. Overall, these results suggest considerable differences in yield potential among peanut varieties.</w:t>
      </w:r>
    </w:p>
    <w:tbl>
      <w:tblPr>
        <w:tblStyle w:val="Table"/>
        <w:tblW w:type="pct" w:w="5000"/>
        <w:tblLayout w:type="fixed"/>
        <w:tblLook w:firstRow="0" w:lastRow="0" w:firstColumn="0" w:lastColumn="0" w:noHBand="0" w:noVBand="0" w:val="0000"/>
      </w:tblPr>
      <w:tblGrid>
        <w:gridCol w:w="7920"/>
      </w:tblGrid>
      <w:tr>
        <w:tc>
          <w:tcPr/>
          <w:bookmarkStart w:id="38" w:name="fig-eda1"/>
          <w:p>
            <w:pPr>
              <w:pStyle w:val="Compact"/>
              <w:jc w:val="center"/>
            </w:pPr>
            <w:r>
              <w:drawing>
                <wp:inline>
                  <wp:extent cx="5334000" cy="5334000"/>
                  <wp:effectExtent b="0" l="0" r="0" t="0"/>
                  <wp:docPr descr="" title="" id="36" name="Picture"/>
                  <a:graphic>
                    <a:graphicData uri="http://schemas.openxmlformats.org/drawingml/2006/picture">
                      <pic:pic>
                        <pic:nvPicPr>
                          <pic:cNvPr descr="../../results/figures/eda1.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Yield by variety.</w:t>
            </w:r>
          </w:p>
          <w:bookmarkEnd w:id="38"/>
        </w:tc>
      </w:tr>
    </w:tbl>
    <w:p>
      <w:pPr>
        <w:pStyle w:val="BodyText"/>
      </w:pPr>
      <w:r>
        <w:t xml:space="preserve">Peanut yield differed between irrigated and non-irrigated conditions (Figure 3). Irrigated plots (watered = TRUE) exhibited a higher median yield compared to non-irrigated plots (watered = FALSE). The distribution of yields under irrigation was also shifted upward, with a greater proportion of observations exceeding 5,000 lb/acre. Although variability was present in both groups, the overall pattern indicates that irrigation is associated with increased peanut yield.</w:t>
      </w:r>
    </w:p>
    <w:tbl>
      <w:tblPr>
        <w:tblStyle w:val="Table"/>
        <w:tblW w:type="pct" w:w="5000"/>
        <w:tblLayout w:type="fixed"/>
        <w:tblLook w:firstRow="0" w:lastRow="0" w:firstColumn="0" w:lastColumn="0" w:noHBand="0" w:noVBand="0" w:val="0000"/>
      </w:tblPr>
      <w:tblGrid>
        <w:gridCol w:w="7920"/>
      </w:tblGrid>
      <w:tr>
        <w:tc>
          <w:tcPr/>
          <w:bookmarkStart w:id="42" w:name="fig-eda2"/>
          <w:p>
            <w:pPr>
              <w:pStyle w:val="Compact"/>
              <w:jc w:val="center"/>
            </w:pPr>
            <w:r>
              <w:drawing>
                <wp:inline>
                  <wp:extent cx="5334000" cy="5334000"/>
                  <wp:effectExtent b="0" l="0" r="0" t="0"/>
                  <wp:docPr descr="" title="" id="40" name="Picture"/>
                  <a:graphic>
                    <a:graphicData uri="http://schemas.openxmlformats.org/drawingml/2006/picture">
                      <pic:pic>
                        <pic:nvPicPr>
                          <pic:cNvPr descr="../../results/figures/eda2.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Yield by irrigation.</w:t>
            </w:r>
          </w:p>
          <w:bookmarkEnd w:id="42"/>
        </w:tc>
      </w:tr>
    </w:tbl>
    <w:p>
      <w:pPr>
        <w:pStyle w:val="BodyText"/>
      </w:pPr>
      <w:r>
        <w:t xml:space="preserve">Yield varied across the four testing locations (Figure 4). Attapulgus exhibited the highest median yield, with values generally concentrated between 6,000 and 7,000 lb/acre. In contrast, Plains showed the lowest median yield and greater variability, with many observations below 5,000 lb/acre. Midville and Tifton displayed intermediate yield distributions, though Midville exhibited a wider spread, including both low and high yield observations. These differences highlight the influence of location on peanut yield performance.</w:t>
      </w:r>
    </w:p>
    <w:tbl>
      <w:tblPr>
        <w:tblStyle w:val="Table"/>
        <w:tblW w:type="pct" w:w="5000"/>
        <w:tblLayout w:type="fixed"/>
        <w:tblLook w:firstRow="0" w:lastRow="0" w:firstColumn="0" w:lastColumn="0" w:noHBand="0" w:noVBand="0" w:val="0000"/>
      </w:tblPr>
      <w:tblGrid>
        <w:gridCol w:w="7920"/>
      </w:tblGrid>
      <w:tr>
        <w:tc>
          <w:tcPr/>
          <w:bookmarkStart w:id="46" w:name="fig-eda3"/>
          <w:p>
            <w:pPr>
              <w:pStyle w:val="Compact"/>
              <w:jc w:val="center"/>
            </w:pPr>
            <w:r>
              <w:drawing>
                <wp:inline>
                  <wp:extent cx="5334000" cy="5334000"/>
                  <wp:effectExtent b="0" l="0" r="0" t="0"/>
                  <wp:docPr descr="" title="" id="44" name="Picture"/>
                  <a:graphic>
                    <a:graphicData uri="http://schemas.openxmlformats.org/drawingml/2006/picture">
                      <pic:pic>
                        <pic:nvPicPr>
                          <pic:cNvPr descr="../../results/figures/eda3.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Yield by location.</w:t>
            </w:r>
          </w:p>
          <w:bookmarkEnd w:id="46"/>
        </w:tc>
      </w:tr>
    </w:tbl>
    <w:p>
      <w:pPr>
        <w:pStyle w:val="BodyText"/>
      </w:pPr>
      <w:r>
        <w:t xml:space="preserve">Temporal patterns in yield varied by location (Figure 5). In Midville, yield showed a general upward trend over time, particularly in the later years. Attapulgus exhibited relatively high yields, though limited observations were available. Plains displayed substantial year-to-year variability with no clear long-term trend, while Tifton showed moderate fluctuations, including a notable decline around 2020 followed by recovery in subsequent years.</w:t>
      </w:r>
    </w:p>
    <w:tbl>
      <w:tblPr>
        <w:tblStyle w:val="Table"/>
        <w:tblW w:type="pct" w:w="5000"/>
        <w:tblLayout w:type="fixed"/>
        <w:tblLook w:firstRow="0" w:lastRow="0" w:firstColumn="0" w:lastColumn="0" w:noHBand="0" w:noVBand="0" w:val="0000"/>
      </w:tblPr>
      <w:tblGrid>
        <w:gridCol w:w="7920"/>
      </w:tblGrid>
      <w:tr>
        <w:tc>
          <w:tcPr/>
          <w:bookmarkStart w:id="50" w:name="fig-eda4"/>
          <w:p>
            <w:pPr>
              <w:pStyle w:val="Compact"/>
              <w:jc w:val="center"/>
            </w:pPr>
            <w:r>
              <w:drawing>
                <wp:inline>
                  <wp:extent cx="5334000" cy="5334000"/>
                  <wp:effectExtent b="0" l="0" r="0" t="0"/>
                  <wp:docPr descr="" title="" id="48" name="Picture"/>
                  <a:graphic>
                    <a:graphicData uri="http://schemas.openxmlformats.org/drawingml/2006/picture">
                      <pic:pic>
                        <pic:nvPicPr>
                          <pic:cNvPr descr="../../results/figures/eda4.png" id="49" name="Picture"/>
                          <pic:cNvPicPr>
                            <a:picLocks noChangeArrowheads="1" noChangeAspect="1"/>
                          </pic:cNvPicPr>
                        </pic:nvPicPr>
                        <pic:blipFill>
                          <a:blip r:embed="rId4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Yield across years by location.</w:t>
            </w:r>
          </w:p>
          <w:bookmarkEnd w:id="50"/>
        </w:tc>
      </w:tr>
    </w:tbl>
    <w:p>
      <w:pPr>
        <w:pStyle w:val="BodyText"/>
      </w:pPr>
      <w:hyperlink w:anchor="tbl-summarytable">
        <w:r>
          <w:rPr>
            <w:rStyle w:val="Hyperlink"/>
          </w:rPr>
          <w:t xml:space="preserve">Table 2</w:t>
        </w:r>
      </w:hyperlink>
      <w:r>
        <w:t xml:space="preserve"> </w:t>
      </w:r>
      <w:r>
        <w:t xml:space="preserve">shows a summary of the data.</w:t>
      </w:r>
    </w:p>
    <w:p>
      <w:pPr>
        <w:pStyle w:val="BodyText"/>
      </w:pPr>
      <w:r>
        <w:t xml:space="preserve">Note the loading of the data providing a</w:t>
      </w:r>
      <w:r>
        <w:t xml:space="preserve"> </w:t>
      </w:r>
      <w:r>
        <w:rPr>
          <w:b/>
          <w:bCs/>
        </w:rPr>
        <w:t xml:space="preserve">relative</w:t>
      </w:r>
      <w:r>
        <w:t xml:space="preserve"> </w:t>
      </w:r>
      <w:r>
        <w:t xml:space="preserve">path using the</w:t>
      </w:r>
      <w:r>
        <w:t xml:space="preserve"> </w:t>
      </w:r>
      <w:r>
        <w:rPr>
          <w:rStyle w:val="VerbatimChar"/>
        </w:rPr>
        <w:t xml:space="preserve">../../</w:t>
      </w:r>
      <w:r>
        <w:t xml:space="preserve"> </w:t>
      </w:r>
      <w:r>
        <w:t xml:space="preserve">notation. (Two dots means a folder up). You never want to specify an</w:t>
      </w:r>
      <w:r>
        <w:t xml:space="preserve"> </w:t>
      </w:r>
      <w:r>
        <w:rPr>
          <w:b/>
          <w:bCs/>
        </w:rPr>
        <w:t xml:space="preserve">absolute</w:t>
      </w:r>
      <w:r>
        <w:t xml:space="preserve"> </w:t>
      </w:r>
      <w:r>
        <w:t xml:space="preserve">path like</w:t>
      </w:r>
      <w:r>
        <w:t xml:space="preserve"> </w:t>
      </w:r>
      <w:r>
        <w:rPr>
          <w:rStyle w:val="VerbatimChar"/>
        </w:rPr>
        <w:t xml:space="preserve">C:\ahandel\myproject\results\</w:t>
      </w:r>
      <w:r>
        <w:t xml:space="preserve"> </w:t>
      </w:r>
      <w:r>
        <w:t xml:space="preserve">because if you share this with someone, it won’t work for them since they don’t have that path. You can also use the</w:t>
      </w:r>
      <w:r>
        <w:t xml:space="preserve"> </w:t>
      </w:r>
      <w:r>
        <w:rPr>
          <w:rStyle w:val="VerbatimChar"/>
        </w:rPr>
        <w:t xml:space="preserve">here</w:t>
      </w:r>
      <w:r>
        <w:t xml:space="preserve"> </w:t>
      </w:r>
      <w:r>
        <w:t xml:space="preserve">R package to create paths. See examples of that below. I generally recommend the</w:t>
      </w:r>
      <w:r>
        <w:t xml:space="preserve"> </w:t>
      </w:r>
      <w:r>
        <w:rPr>
          <w:rStyle w:val="VerbatimChar"/>
        </w:rPr>
        <w:t xml:space="preserve">here</w:t>
      </w:r>
      <w:r>
        <w:t xml:space="preserve"> </w:t>
      </w:r>
      <w:r>
        <w:t xml:space="preserve">package.</w:t>
      </w:r>
    </w:p>
    <w:tbl>
      <w:tblPr>
        <w:tblStyle w:val="Table"/>
        <w:tblW w:type="pct" w:w="5000"/>
        <w:tblLayout w:type="fixed"/>
        <w:tblLook w:firstRow="0" w:lastRow="0" w:firstColumn="0" w:lastColumn="0" w:noHBand="0" w:noVBand="0" w:val="0000"/>
      </w:tblPr>
      <w:tblGrid>
        <w:gridCol w:w="7920"/>
      </w:tblGrid>
      <w:tr>
        <w:tc>
          <w:tcPr/>
          <w:bookmarkStart w:id="51" w:name="tbl-summarytable"/>
          <w:p>
            <w:pPr>
              <w:jc w:val="center"/>
            </w:pPr>
            <w:pPr>
              <w:jc w:val="left"/>
              <w:spacing w:before="200"/>
              <w:pStyle w:val="ImageCaption"/>
            </w:pPr>
            <w:r>
              <w:t xml:space="preserve">Table 2: Data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n_variety</w:t>
                  </w:r>
                </w:p>
              </w:tc>
              <w:tc>
                <w:tcPr/>
                <w:p>
                  <w:pPr>
                    <w:pStyle w:val="Compact"/>
                    <w:jc w:val="right"/>
                    <w:jc w:val="center"/>
                  </w:pPr>
                  <w:r>
                    <w:t xml:space="preserve">n_location</w:t>
                  </w:r>
                </w:p>
              </w:tc>
              <w:tc>
                <w:tcPr/>
                <w:p>
                  <w:pPr>
                    <w:pStyle w:val="Compact"/>
                    <w:jc w:val="right"/>
                    <w:jc w:val="center"/>
                  </w:pPr>
                  <w:r>
                    <w:t xml:space="preserve">n_year</w:t>
                  </w:r>
                </w:p>
              </w:tc>
            </w:tr>
            <w:tr>
              <w:tc>
                <w:tcPr/>
                <w:p>
                  <w:pPr>
                    <w:pStyle w:val="Compact"/>
                    <w:jc w:val="right"/>
                    <w:jc w:val="center"/>
                  </w:pPr>
                  <w:r>
                    <w:t xml:space="preserve">34</w:t>
                  </w:r>
                </w:p>
              </w:tc>
              <w:tc>
                <w:tcPr/>
                <w:p>
                  <w:pPr>
                    <w:pStyle w:val="Compact"/>
                    <w:jc w:val="right"/>
                    <w:jc w:val="center"/>
                  </w:pPr>
                  <w:r>
                    <w:t xml:space="preserve">4</w:t>
                  </w:r>
                </w:p>
              </w:tc>
              <w:tc>
                <w:tcPr/>
                <w:p>
                  <w:pPr>
                    <w:pStyle w:val="Compact"/>
                    <w:jc w:val="right"/>
                    <w:jc w:val="center"/>
                  </w:pPr>
                  <w:r>
                    <w:t xml:space="preserve">12</w:t>
                  </w:r>
                </w:p>
              </w:tc>
            </w:tr>
          </w:tbl>
          <w:bookmarkEnd w:id="51"/>
          <w:p/>
        </w:tc>
      </w:tr>
    </w:tbl>
    <w:bookmarkEnd w:id="52"/>
    <w:bookmarkStart w:id="56" w:name="basic-statistical-analysis"/>
    <w:p>
      <w:pPr>
        <w:pStyle w:val="Heading2"/>
      </w:pPr>
      <w:r>
        <w:t xml:space="preserve">4.2 Basic statistical analysis</w:t>
      </w:r>
    </w:p>
    <w:p>
      <w:pPr>
        <w:pStyle w:val="FirstParagraph"/>
      </w:pPr>
      <w:r>
        <w:t xml:space="preserve">Peanut yield differed significantly among varieties (ANOVA, F₃₃,₄₄₈₁ = 14.3, p &lt; 0.001). These results indicate that variety has a significant effect on yield, with substantial variation observed among the tested peanut varieties.</w:t>
      </w:r>
    </w:p>
    <w:tbl>
      <w:tblPr>
        <w:tblStyle w:val="Table"/>
        <w:tblW w:type="pct" w:w="5000"/>
        <w:tblLayout w:type="fixed"/>
        <w:tblLook w:firstRow="0" w:lastRow="0" w:firstColumn="0" w:lastColumn="0" w:noHBand="0" w:noVBand="0" w:val="0000"/>
      </w:tblPr>
      <w:tblGrid>
        <w:gridCol w:w="7920"/>
      </w:tblGrid>
      <w:tr>
        <w:tc>
          <w:tcPr/>
          <w:bookmarkStart w:id="53" w:name="tbl-resulttable2"/>
          <w:p>
            <w:pPr>
              <w:jc w:val="center"/>
            </w:pPr>
            <w:pPr>
              <w:jc w:val="left"/>
              <w:spacing w:before="200"/>
              <w:pStyle w:val="ImageCaption"/>
            </w:pPr>
            <w:r>
              <w:t xml:space="preserve">Table 3: ANOVA results for the effect of peanut variety on yield.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sumsq</w:t>
                  </w:r>
                </w:p>
              </w:tc>
              <w:tc>
                <w:tcPr/>
                <w:p>
                  <w:pPr>
                    <w:pStyle w:val="Compact"/>
                    <w:jc w:val="right"/>
                    <w:jc w:val="center"/>
                  </w:pPr>
                  <w:r>
                    <w:t xml:space="preserve">meansq</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variety</w:t>
                  </w:r>
                </w:p>
              </w:tc>
              <w:tc>
                <w:tcPr/>
                <w:p>
                  <w:pPr>
                    <w:pStyle w:val="Compact"/>
                    <w:jc w:val="right"/>
                    <w:jc w:val="center"/>
                  </w:pPr>
                  <w:r>
                    <w:t xml:space="preserve">33</w:t>
                  </w:r>
                </w:p>
              </w:tc>
              <w:tc>
                <w:tcPr/>
                <w:p>
                  <w:pPr>
                    <w:pStyle w:val="Compact"/>
                    <w:jc w:val="right"/>
                    <w:jc w:val="center"/>
                  </w:pPr>
                  <w:r>
                    <w:t xml:space="preserve">746871293</w:t>
                  </w:r>
                </w:p>
              </w:tc>
              <w:tc>
                <w:tcPr/>
                <w:p>
                  <w:pPr>
                    <w:pStyle w:val="Compact"/>
                    <w:jc w:val="right"/>
                    <w:jc w:val="center"/>
                  </w:pPr>
                  <w:r>
                    <w:t xml:space="preserve">22632463</w:t>
                  </w:r>
                </w:p>
              </w:tc>
              <w:tc>
                <w:tcPr/>
                <w:p>
                  <w:pPr>
                    <w:pStyle w:val="Compact"/>
                    <w:jc w:val="right"/>
                    <w:jc w:val="center"/>
                  </w:pPr>
                  <w:r>
                    <w:t xml:space="preserve">14.28449</w:t>
                  </w:r>
                </w:p>
              </w:tc>
              <w:tc>
                <w:tcPr/>
                <w:p>
                  <w:pPr>
                    <w:pStyle w:val="Compact"/>
                    <w:jc w:val="right"/>
                    <w:jc w:val="center"/>
                  </w:pPr>
                  <w:r>
                    <w:t xml:space="preserve">0</w:t>
                  </w:r>
                </w:p>
              </w:tc>
            </w:tr>
            <w:tr>
              <w:tc>
                <w:tcPr/>
                <w:p>
                  <w:pPr>
                    <w:pStyle w:val="Compact"/>
                    <w:jc w:val="left"/>
                    <w:jc w:val="center"/>
                  </w:pPr>
                  <w:r>
                    <w:t xml:space="preserve">Residuals</w:t>
                  </w:r>
                </w:p>
              </w:tc>
              <w:tc>
                <w:tcPr/>
                <w:p>
                  <w:pPr>
                    <w:pStyle w:val="Compact"/>
                    <w:jc w:val="right"/>
                    <w:jc w:val="center"/>
                  </w:pPr>
                  <w:r>
                    <w:t xml:space="preserve">4481</w:t>
                  </w:r>
                </w:p>
              </w:tc>
              <w:tc>
                <w:tcPr/>
                <w:p>
                  <w:pPr>
                    <w:pStyle w:val="Compact"/>
                    <w:jc w:val="right"/>
                    <w:jc w:val="center"/>
                  </w:pPr>
                  <w:r>
                    <w:t xml:space="preserve">7099735373</w:t>
                  </w:r>
                </w:p>
              </w:tc>
              <w:tc>
                <w:tcPr/>
                <w:p>
                  <w:pPr>
                    <w:pStyle w:val="Compact"/>
                    <w:jc w:val="right"/>
                    <w:jc w:val="center"/>
                  </w:pPr>
                  <w:r>
                    <w:t xml:space="preserve">1584409</w:t>
                  </w:r>
                </w:p>
              </w:tc>
              <w:tc>
                <w:tcPr/>
                <w:p>
                  <w:pPr>
                    <w:pStyle w:val="Compact"/>
                    <w:jc w:val="right"/>
                    <w:jc w:val="center"/>
                  </w:pPr>
                  <w:r>
                    <w:t xml:space="preserve">NA</w:t>
                  </w:r>
                </w:p>
              </w:tc>
              <w:tc>
                <w:tcPr/>
                <w:p>
                  <w:pPr>
                    <w:pStyle w:val="Compact"/>
                    <w:jc w:val="right"/>
                    <w:jc w:val="center"/>
                  </w:pPr>
                  <w:r>
                    <w:t xml:space="preserve">NA</w:t>
                  </w:r>
                </w:p>
              </w:tc>
            </w:tr>
          </w:tbl>
          <w:bookmarkEnd w:id="53"/>
          <w:p/>
        </w:tc>
      </w:tr>
    </w:tbl>
    <w:p>
      <w:pPr>
        <w:pStyle w:val="BodyText"/>
      </w:pPr>
      <w:r>
        <w:t xml:space="preserve">Peanut yield differed significantly among locations (ANOVA, F₃,₄₅₁₁ = 333, p &lt; 0.001). This indicates that location has a strong effect on yield, with substantial variation in peanut production observed across the tested environments.</w:t>
      </w:r>
    </w:p>
    <w:tbl>
      <w:tblPr>
        <w:tblStyle w:val="Table"/>
        <w:tblW w:type="pct" w:w="5000"/>
        <w:tblLayout w:type="fixed"/>
        <w:tblLook w:firstRow="0" w:lastRow="0" w:firstColumn="0" w:lastColumn="0" w:noHBand="0" w:noVBand="0" w:val="0000"/>
      </w:tblPr>
      <w:tblGrid>
        <w:gridCol w:w="7920"/>
      </w:tblGrid>
      <w:tr>
        <w:tc>
          <w:tcPr/>
          <w:bookmarkStart w:id="54" w:name="tbl-resulttable3"/>
          <w:p>
            <w:pPr>
              <w:jc w:val="center"/>
            </w:pPr>
            <w:pPr>
              <w:jc w:val="left"/>
              <w:spacing w:before="200"/>
              <w:pStyle w:val="ImageCaption"/>
            </w:pPr>
            <w:r>
              <w:t xml:space="preserve">Table 4: ANOVA results for the effect of location on peanut yield.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sumsq</w:t>
                  </w:r>
                </w:p>
              </w:tc>
              <w:tc>
                <w:tcPr/>
                <w:p>
                  <w:pPr>
                    <w:pStyle w:val="Compact"/>
                    <w:jc w:val="right"/>
                    <w:jc w:val="center"/>
                  </w:pPr>
                  <w:r>
                    <w:t xml:space="preserve">meansq</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location</w:t>
                  </w:r>
                </w:p>
              </w:tc>
              <w:tc>
                <w:tcPr/>
                <w:p>
                  <w:pPr>
                    <w:pStyle w:val="Compact"/>
                    <w:jc w:val="right"/>
                    <w:jc w:val="center"/>
                  </w:pPr>
                  <w:r>
                    <w:t xml:space="preserve">3</w:t>
                  </w:r>
                </w:p>
              </w:tc>
              <w:tc>
                <w:tcPr/>
                <w:p>
                  <w:pPr>
                    <w:pStyle w:val="Compact"/>
                    <w:jc w:val="right"/>
                    <w:jc w:val="center"/>
                  </w:pPr>
                  <w:r>
                    <w:t xml:space="preserve">1423193199</w:t>
                  </w:r>
                </w:p>
              </w:tc>
              <w:tc>
                <w:tcPr/>
                <w:p>
                  <w:pPr>
                    <w:pStyle w:val="Compact"/>
                    <w:jc w:val="right"/>
                    <w:jc w:val="center"/>
                  </w:pPr>
                  <w:r>
                    <w:t xml:space="preserve">474397733</w:t>
                  </w:r>
                </w:p>
              </w:tc>
              <w:tc>
                <w:tcPr/>
                <w:p>
                  <w:pPr>
                    <w:pStyle w:val="Compact"/>
                    <w:jc w:val="right"/>
                    <w:jc w:val="center"/>
                  </w:pPr>
                  <w:r>
                    <w:t xml:space="preserve">333.1575</w:t>
                  </w:r>
                </w:p>
              </w:tc>
              <w:tc>
                <w:tcPr/>
                <w:p>
                  <w:pPr>
                    <w:pStyle w:val="Compact"/>
                    <w:jc w:val="right"/>
                    <w:jc w:val="center"/>
                  </w:pPr>
                  <w:r>
                    <w:t xml:space="preserve">0</w:t>
                  </w:r>
                </w:p>
              </w:tc>
            </w:tr>
            <w:tr>
              <w:tc>
                <w:tcPr/>
                <w:p>
                  <w:pPr>
                    <w:pStyle w:val="Compact"/>
                    <w:jc w:val="left"/>
                    <w:jc w:val="center"/>
                  </w:pPr>
                  <w:r>
                    <w:t xml:space="preserve">Residuals</w:t>
                  </w:r>
                </w:p>
              </w:tc>
              <w:tc>
                <w:tcPr/>
                <w:p>
                  <w:pPr>
                    <w:pStyle w:val="Compact"/>
                    <w:jc w:val="right"/>
                    <w:jc w:val="center"/>
                  </w:pPr>
                  <w:r>
                    <w:t xml:space="preserve">4511</w:t>
                  </w:r>
                </w:p>
              </w:tc>
              <w:tc>
                <w:tcPr/>
                <w:p>
                  <w:pPr>
                    <w:pStyle w:val="Compact"/>
                    <w:jc w:val="right"/>
                    <w:jc w:val="center"/>
                  </w:pPr>
                  <w:r>
                    <w:t xml:space="preserve">6423413466</w:t>
                  </w:r>
                </w:p>
              </w:tc>
              <w:tc>
                <w:tcPr/>
                <w:p>
                  <w:pPr>
                    <w:pStyle w:val="Compact"/>
                    <w:jc w:val="right"/>
                    <w:jc w:val="center"/>
                  </w:pPr>
                  <w:r>
                    <w:t xml:space="preserve">1423944</w:t>
                  </w:r>
                </w:p>
              </w:tc>
              <w:tc>
                <w:tcPr/>
                <w:p>
                  <w:pPr>
                    <w:pStyle w:val="Compact"/>
                    <w:jc w:val="right"/>
                    <w:jc w:val="center"/>
                  </w:pPr>
                  <w:r>
                    <w:t xml:space="preserve">NA</w:t>
                  </w:r>
                </w:p>
              </w:tc>
              <w:tc>
                <w:tcPr/>
                <w:p>
                  <w:pPr>
                    <w:pStyle w:val="Compact"/>
                    <w:jc w:val="right"/>
                    <w:jc w:val="center"/>
                  </w:pPr>
                  <w:r>
                    <w:t xml:space="preserve">NA</w:t>
                  </w:r>
                </w:p>
              </w:tc>
            </w:tr>
          </w:tbl>
          <w:bookmarkEnd w:id="54"/>
          <w:p/>
        </w:tc>
      </w:tr>
    </w:tbl>
    <w:p>
      <w:pPr>
        <w:pStyle w:val="BodyText"/>
      </w:pPr>
      <w:r>
        <w:t xml:space="preserve">Peanut yield differed significantly between irrigated and non-irrigated conditions (Welch two-sample t-test, t₄₁₅₂.₁ = −26.32, p &lt; 0.001). Irrigated plots exhibited a higher mean yield (5815.8 lb/acre) compared to non-irrigated plots (4841.8 lb/acre), indicating that irrigation has a positive effect on peanut production.</w:t>
      </w:r>
    </w:p>
    <w:tbl>
      <w:tblPr>
        <w:tblStyle w:val="Table"/>
        <w:tblW w:type="pct" w:w="5000"/>
        <w:tblLayout w:type="fixed"/>
        <w:tblLook w:firstRow="0" w:lastRow="0" w:firstColumn="0" w:lastColumn="0" w:noHBand="0" w:noVBand="0" w:val="0000"/>
      </w:tblPr>
      <w:tblGrid>
        <w:gridCol w:w="7920"/>
      </w:tblGrid>
      <w:tr>
        <w:tc>
          <w:tcPr/>
          <w:bookmarkStart w:id="55" w:name="tbl-resulttable4"/>
          <w:p>
            <w:pPr>
              <w:jc w:val="center"/>
            </w:pPr>
            <w:pPr>
              <w:jc w:val="left"/>
              <w:spacing w:before="200"/>
              <w:pStyle w:val="ImageCaption"/>
            </w:pPr>
            <w:r>
              <w:t xml:space="preserve">Table 5: Results of Welch two-sample t-test comparing peanut yield between irrigated and non-irrigated conditions.</w:t>
            </w:r>
          </w:p>
          <w:tbl>
            <w:tblPr>
              <w:tblStyle w:val="Table"/>
              <w:tblW w:type="pct" w:w="5000"/>
              <w:tblLayout w:type="fixed"/>
              <w:tblLook w:firstRow="1" w:lastRow="0" w:firstColumn="0" w:lastColumn="0" w:noHBand="0" w:noVBand="0" w:val="0020"/>
            </w:tblPr>
            <w:tblGrid>
              <w:gridCol w:w="694"/>
              <w:gridCol w:w="694"/>
              <w:gridCol w:w="694"/>
              <w:gridCol w:w="694"/>
              <w:gridCol w:w="555"/>
              <w:gridCol w:w="694"/>
              <w:gridCol w:w="694"/>
              <w:gridCol w:w="694"/>
              <w:gridCol w:w="1667"/>
              <w:gridCol w:w="833"/>
            </w:tblGrid>
            <w:tr>
              <w:trPr>
                <w:tblHeader w:val="on"/>
              </w:trPr>
              <w:tc>
                <w:tcPr/>
                <w:p>
                  <w:pPr>
                    <w:pStyle w:val="Compact"/>
                    <w:jc w:val="right"/>
                    <w:jc w:val="center"/>
                  </w:pPr>
                  <w:r>
                    <w:t xml:space="preserve">estimate</w:t>
                  </w:r>
                </w:p>
              </w:tc>
              <w:tc>
                <w:tcPr/>
                <w:p>
                  <w:pPr>
                    <w:pStyle w:val="Compact"/>
                    <w:jc w:val="right"/>
                    <w:jc w:val="center"/>
                  </w:pPr>
                  <w:r>
                    <w:t xml:space="preserve">estimate1</w:t>
                  </w:r>
                </w:p>
              </w:tc>
              <w:tc>
                <w:tcPr/>
                <w:p>
                  <w:pPr>
                    <w:pStyle w:val="Compact"/>
                    <w:jc w:val="right"/>
                    <w:jc w:val="center"/>
                  </w:pPr>
                  <w:r>
                    <w:t xml:space="preserve">estimate2</w:t>
                  </w:r>
                </w:p>
              </w:tc>
              <w:tc>
                <w:tcPr/>
                <w:p>
                  <w:pPr>
                    <w:pStyle w:val="Compact"/>
                    <w:jc w:val="right"/>
                    <w:jc w:val="center"/>
                  </w:pPr>
                  <w:r>
                    <w:t xml:space="preserve">statistic</w:t>
                  </w:r>
                </w:p>
              </w:tc>
              <w:tc>
                <w:tcPr/>
                <w:p>
                  <w:pPr>
                    <w:pStyle w:val="Compact"/>
                    <w:jc w:val="right"/>
                    <w:jc w:val="center"/>
                  </w:pPr>
                  <w:r>
                    <w:t xml:space="preserve">p.value</w:t>
                  </w:r>
                </w:p>
              </w:tc>
              <w:tc>
                <w:tcPr/>
                <w:p>
                  <w:pPr>
                    <w:pStyle w:val="Compact"/>
                    <w:jc w:val="right"/>
                    <w:jc w:val="center"/>
                  </w:pPr>
                  <w:r>
                    <w:t xml:space="preserve">parameter</w:t>
                  </w:r>
                </w:p>
              </w:tc>
              <w:tc>
                <w:tcPr/>
                <w:p>
                  <w:pPr>
                    <w:pStyle w:val="Compact"/>
                    <w:jc w:val="right"/>
                    <w:jc w:val="center"/>
                  </w:pPr>
                  <w:r>
                    <w:t xml:space="preserve">conf.low</w:t>
                  </w:r>
                </w:p>
              </w:tc>
              <w:tc>
                <w:tcPr/>
                <w:p>
                  <w:pPr>
                    <w:pStyle w:val="Compact"/>
                    <w:jc w:val="right"/>
                    <w:jc w:val="center"/>
                  </w:pPr>
                  <w:r>
                    <w:t xml:space="preserve">conf.high</w:t>
                  </w:r>
                </w:p>
              </w:tc>
              <w:tc>
                <w:tcPr/>
                <w:p>
                  <w:pPr>
                    <w:pStyle w:val="Compact"/>
                    <w:jc w:val="left"/>
                    <w:jc w:val="center"/>
                  </w:pPr>
                  <w:r>
                    <w:t xml:space="preserve">method</w:t>
                  </w:r>
                </w:p>
              </w:tc>
              <w:tc>
                <w:tcPr/>
                <w:p>
                  <w:pPr>
                    <w:pStyle w:val="Compact"/>
                    <w:jc w:val="left"/>
                    <w:jc w:val="center"/>
                  </w:pPr>
                  <w:r>
                    <w:t xml:space="preserve">alternative</w:t>
                  </w:r>
                </w:p>
              </w:tc>
            </w:tr>
            <w:tr>
              <w:tc>
                <w:tcPr/>
                <w:p>
                  <w:pPr>
                    <w:pStyle w:val="Compact"/>
                    <w:jc w:val="right"/>
                    <w:jc w:val="center"/>
                  </w:pPr>
                  <w:r>
                    <w:t xml:space="preserve">-974.0101</w:t>
                  </w:r>
                </w:p>
              </w:tc>
              <w:tc>
                <w:tcPr/>
                <w:p>
                  <w:pPr>
                    <w:pStyle w:val="Compact"/>
                    <w:jc w:val="right"/>
                    <w:jc w:val="center"/>
                  </w:pPr>
                  <w:r>
                    <w:t xml:space="preserve">4841.783</w:t>
                  </w:r>
                </w:p>
              </w:tc>
              <w:tc>
                <w:tcPr/>
                <w:p>
                  <w:pPr>
                    <w:pStyle w:val="Compact"/>
                    <w:jc w:val="right"/>
                    <w:jc w:val="center"/>
                  </w:pPr>
                  <w:r>
                    <w:t xml:space="preserve">5815.793</w:t>
                  </w:r>
                </w:p>
              </w:tc>
              <w:tc>
                <w:tcPr/>
                <w:p>
                  <w:pPr>
                    <w:pStyle w:val="Compact"/>
                    <w:jc w:val="right"/>
                    <w:jc w:val="center"/>
                  </w:pPr>
                  <w:r>
                    <w:t xml:space="preserve">-26.31908</w:t>
                  </w:r>
                </w:p>
              </w:tc>
              <w:tc>
                <w:tcPr/>
                <w:p>
                  <w:pPr>
                    <w:pStyle w:val="Compact"/>
                    <w:jc w:val="right"/>
                    <w:jc w:val="center"/>
                  </w:pPr>
                  <w:r>
                    <w:t xml:space="preserve">0</w:t>
                  </w:r>
                </w:p>
              </w:tc>
              <w:tc>
                <w:tcPr/>
                <w:p>
                  <w:pPr>
                    <w:pStyle w:val="Compact"/>
                    <w:jc w:val="right"/>
                    <w:jc w:val="center"/>
                  </w:pPr>
                  <w:r>
                    <w:t xml:space="preserve">4152.093</w:t>
                  </w:r>
                </w:p>
              </w:tc>
              <w:tc>
                <w:tcPr/>
                <w:p>
                  <w:pPr>
                    <w:pStyle w:val="Compact"/>
                    <w:jc w:val="right"/>
                    <w:jc w:val="center"/>
                  </w:pPr>
                  <w:r>
                    <w:t xml:space="preserve">-1046.565</w:t>
                  </w:r>
                </w:p>
              </w:tc>
              <w:tc>
                <w:tcPr/>
                <w:p>
                  <w:pPr>
                    <w:pStyle w:val="Compact"/>
                    <w:jc w:val="right"/>
                    <w:jc w:val="center"/>
                  </w:pPr>
                  <w:r>
                    <w:t xml:space="preserve">-901.455</w:t>
                  </w:r>
                </w:p>
              </w:tc>
              <w:tc>
                <w:tcPr/>
                <w:p>
                  <w:pPr>
                    <w:pStyle w:val="Compact"/>
                    <w:jc w:val="left"/>
                    <w:jc w:val="center"/>
                  </w:pPr>
                  <w:r>
                    <w:t xml:space="preserve">Welch Two Sample t-test</w:t>
                  </w:r>
                </w:p>
              </w:tc>
              <w:tc>
                <w:tcPr/>
                <w:p>
                  <w:pPr>
                    <w:pStyle w:val="Compact"/>
                    <w:jc w:val="left"/>
                    <w:jc w:val="center"/>
                  </w:pPr>
                  <w:r>
                    <w:t xml:space="preserve">two.sided</w:t>
                  </w:r>
                </w:p>
              </w:tc>
            </w:tr>
          </w:tbl>
          <w:bookmarkEnd w:id="55"/>
          <w:p/>
        </w:tc>
      </w:tr>
    </w:tbl>
    <w:bookmarkEnd w:id="56"/>
    <w:bookmarkStart w:id="57" w:name="full-analysis"/>
    <w:p>
      <w:pPr>
        <w:pStyle w:val="Heading2"/>
      </w:pPr>
      <w:r>
        <w:t xml:space="preserve">4.3 Full analysis</w:t>
      </w:r>
    </w:p>
    <w:p>
      <w:pPr>
        <w:pStyle w:val="FirstParagraph"/>
      </w:pPr>
      <w:r>
        <w:rPr>
          <w:i/>
          <w:iCs/>
        </w:rPr>
        <w:t xml:space="preserve">Use one or several suitable statistical/machine learning methods to analyze your data and to produce meaningful figures, tables, etc. This might again be code that is best placed in one or several separate R scripts that need to be well documented. You want the code to produce figures and data ready for display as tables, and save those. Then you load them here.</w:t>
      </w:r>
    </w:p>
    <w:p>
      <w:pPr>
        <w:pStyle w:val="BodyText"/>
      </w:pPr>
      <w:r>
        <w:t xml:space="preserve">Example</w:t>
      </w:r>
      <w:r>
        <w:t xml:space="preserve"> </w:t>
      </w:r>
      <w:hyperlink w:anchor="tbl-resulttable2">
        <w:r>
          <w:rPr>
            <w:rStyle w:val="Hyperlink"/>
          </w:rPr>
          <w:t xml:space="preserve">Table 3</w:t>
        </w:r>
      </w:hyperlink>
      <w:r>
        <w:t xml:space="preserve"> </w:t>
      </w:r>
      <w:r>
        <w:t xml:space="preserve">shows a summary of a linear model fit.</w:t>
      </w:r>
    </w:p>
    <w:p>
      <w:r>
        <w:br w:type="page"/>
      </w:r>
    </w:p>
    <w:bookmarkEnd w:id="57"/>
    <w:bookmarkEnd w:id="58"/>
    <w:bookmarkStart w:id="63" w:name="discussion"/>
    <w:p>
      <w:pPr>
        <w:pStyle w:val="Heading1"/>
      </w:pPr>
      <w:r>
        <w:t xml:space="preserve">5. Discussion</w:t>
      </w:r>
    </w:p>
    <w:bookmarkStart w:id="59"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59"/>
    <w:bookmarkStart w:id="60"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60"/>
    <w:bookmarkStart w:id="62" w:name="conclusions"/>
    <w:p>
      <w:pPr>
        <w:pStyle w:val="Heading2"/>
      </w:pPr>
      <w:r>
        <w:t xml:space="preserve">5.3 Conclusions</w:t>
      </w:r>
    </w:p>
    <w:p>
      <w:pPr>
        <w:pStyle w:val="FirstParagraph"/>
      </w:pPr>
      <w:r>
        <w:rPr>
          <w:i/>
          <w:iCs/>
        </w:rPr>
        <w:t xml:space="preserve">What are the main take-home messages?</w:t>
      </w:r>
    </w:p>
    <w:p>
      <w:pPr>
        <w:pStyle w:val="BodyText"/>
      </w:pPr>
      <w:r>
        <w:rPr>
          <w:i/>
          <w:iCs/>
        </w:rPr>
        <w:t xml:space="preserve">Include citations in your Qmd file using BibTeX, the list of references will automatically be placed at the end</w:t>
      </w:r>
    </w:p>
    <w:p>
      <w:pPr>
        <w:pStyle w:val="BodyText"/>
      </w:pPr>
      <w:r>
        <w:t xml:space="preserve">This paper</w:t>
      </w:r>
      <w:r>
        <w:t xml:space="preserve"> </w:t>
      </w:r>
      <w:r>
        <w:t xml:space="preserve">(1)</w:t>
      </w:r>
      <w:r>
        <w:t xml:space="preserve"> </w:t>
      </w:r>
      <w:r>
        <w:t xml:space="preserve">discusses types of analyses.</w:t>
      </w:r>
    </w:p>
    <w:p>
      <w:pPr>
        <w:pStyle w:val="BodyText"/>
      </w:pPr>
      <w:r>
        <w:t xml:space="preserve">These papers</w:t>
      </w:r>
      <w:r>
        <w:t xml:space="preserve"> </w:t>
      </w:r>
      <w:r>
        <w:t xml:space="preserve">(2,3)</w:t>
      </w:r>
      <w:r>
        <w:t xml:space="preserve"> </w:t>
      </w:r>
      <w:r>
        <w:t xml:space="preserve">are good examples of papers published using a fully reproducible setup similar to the one shown in this template.</w:t>
      </w:r>
    </w:p>
    <w:p>
      <w:pPr>
        <w:pStyle w:val="BodyText"/>
      </w:pPr>
      <w:r>
        <w:t xml:space="preserve">Note that this cited reference will show up at the end of the document, the reference formatting is determined by the CSL file specified in the YAML header. Many more style files for almost any journal</w:t>
      </w:r>
      <w:r>
        <w:t xml:space="preserve"> </w:t>
      </w:r>
      <w:hyperlink r:id="rId61">
        <w:r>
          <w:rPr>
            <w:rStyle w:val="Hyperlink"/>
          </w:rPr>
          <w:t xml:space="preserve">are available</w:t>
        </w:r>
      </w:hyperlink>
      <w:r>
        <w:t xml:space="preserve">. You also specify the location of your BibTeX reference file in the YAML. You can call your reference file anything you like.</w:t>
      </w:r>
    </w:p>
    <w:p>
      <w:r>
        <w:br w:type="page"/>
      </w:r>
    </w:p>
    <w:bookmarkEnd w:id="62"/>
    <w:bookmarkEnd w:id="63"/>
    <w:bookmarkStart w:id="71" w:name="references"/>
    <w:p>
      <w:pPr>
        <w:pStyle w:val="Heading1"/>
      </w:pPr>
      <w:r>
        <w:t xml:space="preserve">6. References</w:t>
      </w:r>
    </w:p>
    <w:bookmarkStart w:id="70" w:name="refs"/>
    <w:bookmarkStart w:id="65" w:name="ref-leek2015"/>
    <w:p>
      <w:pPr>
        <w:pStyle w:val="Bibliography"/>
      </w:pPr>
      <w:r>
        <w:t xml:space="preserve">1.</w:t>
      </w:r>
      <w:r>
        <w:t xml:space="preserve"> </w:t>
      </w:r>
      <w:r>
        <w:t xml:space="preserve">	</w:t>
      </w:r>
      <w:r>
        <w:t xml:space="preserve">Leek JT, Peng RD.</w:t>
      </w:r>
      <w:r>
        <w:t xml:space="preserve"> </w:t>
      </w:r>
      <w:hyperlink r:id="rId64">
        <w:r>
          <w:rPr>
            <w:rStyle w:val="Hyperlink"/>
          </w:rPr>
          <w:t xml:space="preserve">Statistics.</w:t>
        </w:r>
        <w:r>
          <w:rPr>
            <w:rStyle w:val="Hyperlink"/>
          </w:rPr>
          <w:t xml:space="preserve"> </w:t>
        </w:r>
        <w:r>
          <w:rPr>
            <w:rStyle w:val="Hyperlink"/>
          </w:rPr>
          <w:t xml:space="preserve">What</w:t>
        </w:r>
        <w:r>
          <w:rPr>
            <w:rStyle w:val="Hyperlink"/>
          </w:rPr>
          <w:t xml:space="preserve"> </w:t>
        </w:r>
        <w:r>
          <w:rPr>
            <w:rStyle w:val="Hyperlink"/>
          </w:rPr>
          <w:t xml:space="preserve">is the question?</w:t>
        </w:r>
      </w:hyperlink>
      <w:r>
        <w:t xml:space="preserve"> </w:t>
      </w:r>
      <w:r>
        <w:rPr>
          <w:i/>
          <w:iCs/>
        </w:rPr>
        <w:t xml:space="preserve">Science (New York, N.Y.)</w:t>
      </w:r>
      <w:r>
        <w:t xml:space="preserve">. 2015;347(6228):1314–1315.</w:t>
      </w:r>
      <w:r>
        <w:t xml:space="preserve"> </w:t>
      </w:r>
    </w:p>
    <w:bookmarkEnd w:id="65"/>
    <w:bookmarkStart w:id="67" w:name="ref-mckay2020"/>
    <w:p>
      <w:pPr>
        <w:pStyle w:val="Bibliography"/>
      </w:pPr>
      <w:r>
        <w:t xml:space="preserve">2.</w:t>
      </w:r>
      <w:r>
        <w:t xml:space="preserve"> </w:t>
      </w:r>
      <w:r>
        <w:t xml:space="preserve">	</w:t>
      </w:r>
      <w:r>
        <w:t xml:space="preserve">McKay B, Ebell M, Billings WZ, et al.</w:t>
      </w:r>
      <w:r>
        <w:t xml:space="preserve"> </w:t>
      </w:r>
      <w:hyperlink r:id="rId66">
        <w:r>
          <w:rPr>
            <w:rStyle w:val="Hyperlink"/>
          </w:rPr>
          <w:t xml:space="preserve">Associations</w:t>
        </w:r>
        <w:r>
          <w:rPr>
            <w:rStyle w:val="Hyperlink"/>
          </w:rPr>
          <w:t xml:space="preserve"> </w:t>
        </w:r>
        <w:r>
          <w:rPr>
            <w:rStyle w:val="Hyperlink"/>
          </w:rPr>
          <w:t xml:space="preserve">Between Relative Viral Load</w:t>
        </w:r>
        <w:r>
          <w:rPr>
            <w:rStyle w:val="Hyperlink"/>
          </w:rPr>
          <w:t xml:space="preserve"> </w:t>
        </w:r>
        <w:r>
          <w:rPr>
            <w:rStyle w:val="Hyperlink"/>
          </w:rPr>
          <w:t xml:space="preserve">at</w:t>
        </w:r>
        <w:r>
          <w:rPr>
            <w:rStyle w:val="Hyperlink"/>
          </w:rPr>
          <w:t xml:space="preserve"> </w:t>
        </w:r>
        <w:r>
          <w:rPr>
            <w:rStyle w:val="Hyperlink"/>
          </w:rPr>
          <w:t xml:space="preserve">Diagnosis</w:t>
        </w:r>
        <w:r>
          <w:rPr>
            <w:rStyle w:val="Hyperlink"/>
          </w:rPr>
          <w:t xml:space="preserve"> </w:t>
        </w:r>
        <w:r>
          <w:rPr>
            <w:rStyle w:val="Hyperlink"/>
          </w:rPr>
          <w:t xml:space="preserve">and</w:t>
        </w:r>
        <w:r>
          <w:rPr>
            <w:rStyle w:val="Hyperlink"/>
          </w:rPr>
          <w:t xml:space="preserve"> </w:t>
        </w:r>
        <w:r>
          <w:rPr>
            <w:rStyle w:val="Hyperlink"/>
          </w:rPr>
          <w:t xml:space="preserve">Influenza A Symptoms</w:t>
        </w:r>
        <w:r>
          <w:rPr>
            <w:rStyle w:val="Hyperlink"/>
          </w:rPr>
          <w:t xml:space="preserve"> </w:t>
        </w:r>
        <w:r>
          <w:rPr>
            <w:rStyle w:val="Hyperlink"/>
          </w:rPr>
          <w:t xml:space="preserve">and</w:t>
        </w:r>
        <w:r>
          <w:rPr>
            <w:rStyle w:val="Hyperlink"/>
          </w:rPr>
          <w:t xml:space="preserve"> </w:t>
        </w:r>
        <w:r>
          <w:rPr>
            <w:rStyle w:val="Hyperlink"/>
          </w:rPr>
          <w:t xml:space="preserve">Recovery</w:t>
        </w:r>
        <w:r>
          <w:rPr>
            <w:rStyle w:val="Hyperlink"/>
          </w:rPr>
          <w:t xml:space="preserve">.</w:t>
        </w:r>
      </w:hyperlink>
      <w:r>
        <w:t xml:space="preserve"> </w:t>
      </w:r>
      <w:r>
        <w:rPr>
          <w:i/>
          <w:iCs/>
        </w:rPr>
        <w:t xml:space="preserve">Open forum infectious diseases</w:t>
      </w:r>
      <w:r>
        <w:t xml:space="preserve">. 2020;7(11):ofaa494.</w:t>
      </w:r>
      <w:r>
        <w:t xml:space="preserve"> </w:t>
      </w:r>
    </w:p>
    <w:bookmarkEnd w:id="67"/>
    <w:bookmarkStart w:id="69" w:name="ref-mckay2020a"/>
    <w:p>
      <w:pPr>
        <w:pStyle w:val="Bibliography"/>
      </w:pPr>
      <w:r>
        <w:t xml:space="preserve">3.</w:t>
      </w:r>
      <w:r>
        <w:t xml:space="preserve"> </w:t>
      </w:r>
      <w:r>
        <w:t xml:space="preserve">	</w:t>
      </w:r>
      <w:r>
        <w:t xml:space="preserve">McKay B, Ebell M, Dale AP, et al.</w:t>
      </w:r>
      <w:r>
        <w:t xml:space="preserve"> </w:t>
      </w:r>
      <w:hyperlink r:id="rId68">
        <w:r>
          <w:rPr>
            <w:rStyle w:val="Hyperlink"/>
          </w:rPr>
          <w:t xml:space="preserve">Virulence-mediated infectiousness and activity trade-offs and their impact on transmission potential of influenza patients.</w:t>
        </w:r>
      </w:hyperlink>
      <w:r>
        <w:t xml:space="preserve"> </w:t>
      </w:r>
      <w:r>
        <w:rPr>
          <w:i/>
          <w:iCs/>
        </w:rPr>
        <w:t xml:space="preserve">Proceedings. Biological sciences</w:t>
      </w:r>
      <w:r>
        <w:t xml:space="preserve">. 2020;287(1927):20200496.</w:t>
      </w:r>
      <w:r>
        <w:t xml:space="preserve"> </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66" Target="https://doi.org/10.1093/ofid/ofaa494" TargetMode="External" /><Relationship Type="http://schemas.openxmlformats.org/officeDocument/2006/relationships/hyperlink" Id="rId68" Target="https://doi.org/10.1098/rspb.2020.0496" TargetMode="External" /><Relationship Type="http://schemas.openxmlformats.org/officeDocument/2006/relationships/hyperlink" Id="rId64" Target="https://doi.org/10.1126/science.aaa6146" TargetMode="External" /><Relationship Type="http://schemas.openxmlformats.org/officeDocument/2006/relationships/hyperlink" Id="rId61" Target="https://www.zotero.org/styles"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93/ofid/ofaa494" TargetMode="External" /><Relationship Type="http://schemas.openxmlformats.org/officeDocument/2006/relationships/hyperlink" Id="rId68" Target="https://doi.org/10.1098/rspb.2020.0496" TargetMode="External" /><Relationship Type="http://schemas.openxmlformats.org/officeDocument/2006/relationships/hyperlink" Id="rId64" Target="https://doi.org/10.1126/science.aaa6146" TargetMode="External" /><Relationship Type="http://schemas.openxmlformats.org/officeDocument/2006/relationships/hyperlink" Id="rId61" Target="https://www.zotero.org/sty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of Peanut Variety Performance in a State Variety Testing Program</dc:title>
  <dc:creator/>
  <cp:keywords/>
  <dcterms:created xsi:type="dcterms:W3CDTF">2026-03-17T20:30:16Z</dcterms:created>
  <dcterms:modified xsi:type="dcterms:W3CDTF">2026-03-17T20:30:16Z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../../assets/dataanalysis-references.bib</vt:lpwstr>
  </property>
  <property fmtid="{D5CDD505-2E9C-101B-9397-08002B2CF9AE}" pid="4" name="csl">
    <vt:lpwstr>../../assets/american-journal-of-epidemiology.csl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