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of Peanut Variety Performance in a State Variety Testing Program</w:t>
      </w:r>
    </w:p>
    <w:p>
      <w:pPr>
        <w:pStyle w:val="Author"/>
      </w:pPr>
    </w:p>
    <w:p>
      <w:pPr>
        <w:pStyle w:val="FirstParagraph"/>
      </w:pPr>
      <w:r>
        <w:rPr>
          <w:b/>
          <w:bCs/>
        </w:rPr>
        <w:t xml:space="preserve">Authors</w:t>
      </w:r>
    </w:p>
    <w:p>
      <w:pPr>
        <w:pStyle w:val="Compact"/>
        <w:numPr>
          <w:ilvl w:val="0"/>
          <w:numId w:val="1001"/>
        </w:numPr>
      </w:pPr>
      <w:r>
        <w:t xml:space="preserve">Santiago Emil A. Joson IV</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Plant Pathology, University of Georgia, Griffin, GA, USA.</w:t>
      </w:r>
    </w:p>
    <w:p>
      <w:r>
        <w:br w:type="page"/>
      </w:r>
    </w:p>
    <w:bookmarkStart w:id="20"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0"/>
    <w:bookmarkStart w:id="25"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Peanut variety testing programs are conducted to evaluate the performance of different cultivars under regional growing conditions. These trials provide valuable information to growers, breeders, and agricultural researchers by comparing yield potential, disease resistance, and other agronomic traits. Understanding variation among peanut varieties can inform cultivar selection and management decisions that improve productivity and profitability.</w:t>
      </w:r>
    </w:p>
    <w:p>
      <w:pPr>
        <w:pStyle w:val="BodyText"/>
      </w:pPr>
      <w:r>
        <w:t xml:space="preserve">The objective of this analysis was to examine a dataset obtained from a state peanut variety testing facility and identify patterns, trends, or statistically significant differences among peanut varieties. Specifically, this report aims to evaluate how selected variables (such as irrigation, location, yield) vary across cultivars and determine whether meaningful differences exist.</w:t>
      </w:r>
    </w:p>
    <w:bookmarkEnd w:id="21"/>
    <w:bookmarkStart w:id="23" w:name="description-of-data-and-data-source"/>
    <w:p>
      <w:pPr>
        <w:pStyle w:val="Heading2"/>
      </w:pPr>
      <w:r>
        <w:t xml:space="preserve">2.2 Description of data and data source</w:t>
      </w:r>
    </w:p>
    <w:p>
      <w:pPr>
        <w:pStyle w:val="FirstParagraph"/>
      </w:pPr>
      <w:r>
        <w:t xml:space="preserve">The dataset was obtained from the Georgia State Variety Testing program. The dataset has 18,117 rows and 38 columns of different observations.</w:t>
      </w:r>
    </w:p>
    <w:tbl>
      <w:tblPr>
        <w:tblStyle w:val="Table"/>
        <w:tblW w:type="pct" w:w="5000"/>
        <w:tblLayout w:type="fixed"/>
        <w:tblLook w:firstRow="0" w:lastRow="0" w:firstColumn="0" w:lastColumn="0" w:noHBand="0" w:noVBand="0" w:val="0000"/>
      </w:tblPr>
      <w:tblGrid>
        <w:gridCol w:w="7920"/>
      </w:tblGrid>
      <w:tr>
        <w:tc>
          <w:tcPr/>
          <w:bookmarkStart w:id="22" w:name="tbl-resulttable1"/>
          <w:p>
            <w:pPr>
              <w:jc w:val="center"/>
            </w:pPr>
            <w:pPr>
              <w:jc w:val="left"/>
              <w:spacing w:before="200"/>
              <w:pStyle w:val="ImageCaption"/>
            </w:pPr>
            <w:r>
              <w:t xml:space="preserve">Table 1: Raw dataset variables</w:t>
            </w:r>
          </w:p>
          <w:tbl>
            <w:tblPr>
              <w:tblStyle w:val="Table"/>
              <w:tblW w:type="auto" w:w="0"/>
              <w:tblLook w:firstRow="0" w:lastRow="0" w:firstColumn="0" w:lastColumn="0" w:noHBand="0" w:noVBand="0" w:val="0000"/>
            </w:tblPr>
            <w:tblGrid>
              <w:gridCol w:w="3960"/>
              <w:gridCol w:w="3960"/>
            </w:tblGrid>
            <w:tr>
              <w:tc>
                <w:tcPr/>
                <w:p>
                  <w:pPr>
                    <w:pStyle w:val="Compact"/>
                    <w:jc w:val="left"/>
                    <w:jc w:val="center"/>
                  </w:pPr>
                  <w:r>
                    <w:t xml:space="preserve">treatment_key</w:t>
                  </w:r>
                </w:p>
              </w:tc>
              <w:tc>
                <w:tcPr/>
                <w:p>
                  <w:pPr>
                    <w:pStyle w:val="Compact"/>
                    <w:jc w:val="left"/>
                    <w:jc w:val="center"/>
                  </w:pPr>
                  <w:r>
                    <w:t xml:space="preserve">seed_weight_100</w:t>
                  </w:r>
                </w:p>
              </w:tc>
            </w:tr>
            <w:tr>
              <w:tc>
                <w:tcPr/>
                <w:p>
                  <w:pPr>
                    <w:pStyle w:val="Compact"/>
                    <w:jc w:val="left"/>
                    <w:jc w:val="center"/>
                  </w:pPr>
                  <w:r>
                    <w:t xml:space="preserve">year</w:t>
                  </w:r>
                </w:p>
              </w:tc>
              <w:tc>
                <w:tcPr/>
                <w:p>
                  <w:pPr>
                    <w:pStyle w:val="Compact"/>
                    <w:jc w:val="left"/>
                    <w:jc w:val="center"/>
                  </w:pPr>
                  <w:r>
                    <w:t xml:space="preserve">seed_per_pound</w:t>
                  </w:r>
                </w:p>
              </w:tc>
            </w:tr>
            <w:tr>
              <w:tc>
                <w:tcPr/>
                <w:p>
                  <w:pPr>
                    <w:pStyle w:val="Compact"/>
                    <w:jc w:val="left"/>
                    <w:jc w:val="center"/>
                  </w:pPr>
                  <w:r>
                    <w:t xml:space="preserve">location</w:t>
                  </w:r>
                </w:p>
              </w:tc>
              <w:tc>
                <w:tcPr/>
                <w:p>
                  <w:pPr>
                    <w:pStyle w:val="Compact"/>
                    <w:jc w:val="left"/>
                    <w:jc w:val="center"/>
                  </w:pPr>
                  <w:r>
                    <w:t xml:space="preserve">peanut_yield</w:t>
                  </w:r>
                </w:p>
              </w:tc>
            </w:tr>
            <w:tr>
              <w:tc>
                <w:tcPr/>
                <w:p>
                  <w:pPr>
                    <w:pStyle w:val="Compact"/>
                    <w:jc w:val="left"/>
                    <w:jc w:val="center"/>
                  </w:pPr>
                  <w:r>
                    <w:t xml:space="preserve">test_id</w:t>
                  </w:r>
                </w:p>
              </w:tc>
              <w:tc>
                <w:tcPr/>
                <w:p>
                  <w:pPr>
                    <w:pStyle w:val="Compact"/>
                    <w:jc w:val="left"/>
                    <w:jc w:val="center"/>
                  </w:pPr>
                  <w:r>
                    <w:t xml:space="preserve">moisture</w:t>
                  </w:r>
                </w:p>
              </w:tc>
            </w:tr>
            <w:tr>
              <w:tc>
                <w:tcPr/>
                <w:p>
                  <w:pPr>
                    <w:pStyle w:val="Compact"/>
                    <w:jc w:val="left"/>
                    <w:jc w:val="center"/>
                  </w:pPr>
                  <w:r>
                    <w:t xml:space="preserve">experiment_name</w:t>
                  </w:r>
                </w:p>
              </w:tc>
              <w:tc>
                <w:tcPr/>
                <w:p>
                  <w:pPr>
                    <w:pStyle w:val="Compact"/>
                    <w:jc w:val="left"/>
                    <w:jc w:val="center"/>
                  </w:pPr>
                  <w:r>
                    <w:t xml:space="preserve">tsmk</w:t>
                  </w:r>
                </w:p>
              </w:tc>
            </w:tr>
            <w:tr>
              <w:tc>
                <w:tcPr/>
                <w:p>
                  <w:pPr>
                    <w:pStyle w:val="Compact"/>
                    <w:jc w:val="left"/>
                    <w:jc w:val="center"/>
                  </w:pPr>
                  <w:r>
                    <w:t xml:space="preserve">watered</w:t>
                  </w:r>
                </w:p>
              </w:tc>
              <w:tc>
                <w:tcPr/>
                <w:p>
                  <w:pPr>
                    <w:pStyle w:val="Compact"/>
                    <w:jc w:val="left"/>
                    <w:jc w:val="center"/>
                  </w:pPr>
                  <w:r>
                    <w:t xml:space="preserve">ok</w:t>
                  </w:r>
                </w:p>
              </w:tc>
            </w:tr>
            <w:tr>
              <w:tc>
                <w:tcPr/>
                <w:p>
                  <w:pPr>
                    <w:pStyle w:val="Compact"/>
                    <w:jc w:val="left"/>
                    <w:jc w:val="center"/>
                  </w:pPr>
                  <w:r>
                    <w:t xml:space="preserve">planting_date</w:t>
                  </w:r>
                </w:p>
              </w:tc>
              <w:tc>
                <w:tcPr/>
                <w:p>
                  <w:pPr>
                    <w:pStyle w:val="Compact"/>
                    <w:jc w:val="left"/>
                    <w:jc w:val="center"/>
                  </w:pPr>
                  <w:r>
                    <w:t xml:space="preserve">dk</w:t>
                  </w:r>
                </w:p>
              </w:tc>
            </w:tr>
            <w:tr>
              <w:tc>
                <w:tcPr/>
                <w:p>
                  <w:pPr>
                    <w:pStyle w:val="Compact"/>
                    <w:jc w:val="left"/>
                    <w:jc w:val="center"/>
                  </w:pPr>
                  <w:r>
                    <w:t xml:space="preserve">digging_date</w:t>
                  </w:r>
                </w:p>
              </w:tc>
              <w:tc>
                <w:tcPr/>
                <w:p>
                  <w:pPr>
                    <w:pStyle w:val="Compact"/>
                    <w:jc w:val="left"/>
                    <w:jc w:val="center"/>
                  </w:pPr>
                  <w:r>
                    <w:t xml:space="preserve">elk</w:t>
                  </w:r>
                </w:p>
              </w:tc>
            </w:tr>
            <w:tr>
              <w:tc>
                <w:tcPr/>
                <w:p>
                  <w:pPr>
                    <w:pStyle w:val="Compact"/>
                    <w:jc w:val="left"/>
                    <w:jc w:val="center"/>
                  </w:pPr>
                  <w:r>
                    <w:t xml:space="preserve">test_entry</w:t>
                  </w:r>
                </w:p>
              </w:tc>
              <w:tc>
                <w:tcPr/>
                <w:p>
                  <w:pPr>
                    <w:pStyle w:val="Compact"/>
                    <w:jc w:val="left"/>
                    <w:jc w:val="center"/>
                  </w:pPr>
                  <w:r>
                    <w:t xml:space="preserve">fancy</w:t>
                  </w:r>
                </w:p>
              </w:tc>
            </w:tr>
            <w:tr>
              <w:tc>
                <w:tcPr/>
                <w:p>
                  <w:pPr>
                    <w:pStyle w:val="Compact"/>
                    <w:jc w:val="left"/>
                    <w:jc w:val="center"/>
                  </w:pPr>
                  <w:r>
                    <w:t xml:space="preserve">variety_key</w:t>
                  </w:r>
                </w:p>
              </w:tc>
              <w:tc>
                <w:tcPr/>
                <w:p>
                  <w:pPr>
                    <w:pStyle w:val="Compact"/>
                    <w:jc w:val="left"/>
                    <w:jc w:val="center"/>
                  </w:pPr>
                  <w:r>
                    <w:t xml:space="preserve">maturity_code</w:t>
                  </w:r>
                </w:p>
              </w:tc>
            </w:tr>
            <w:tr>
              <w:tc>
                <w:tcPr/>
                <w:p>
                  <w:pPr>
                    <w:pStyle w:val="Compact"/>
                    <w:jc w:val="left"/>
                    <w:jc w:val="center"/>
                  </w:pPr>
                  <w:r>
                    <w:t xml:space="preserve">variety</w:t>
                  </w:r>
                </w:p>
              </w:tc>
              <w:tc>
                <w:tcPr/>
                <w:p>
                  <w:pPr>
                    <w:pStyle w:val="Compact"/>
                    <w:jc w:val="left"/>
                    <w:jc w:val="center"/>
                  </w:pPr>
                  <w:r>
                    <w:t xml:space="preserve">maturity</w:t>
                  </w:r>
                </w:p>
              </w:tc>
            </w:tr>
            <w:tr>
              <w:tc>
                <w:tcPr/>
                <w:p>
                  <w:pPr>
                    <w:pStyle w:val="Compact"/>
                    <w:jc w:val="left"/>
                    <w:jc w:val="center"/>
                  </w:pPr>
                  <w:r>
                    <w:t xml:space="preserve">treatment</w:t>
                  </w:r>
                </w:p>
              </w:tc>
              <w:tc>
                <w:tcPr/>
                <w:p>
                  <w:pPr>
                    <w:pStyle w:val="Compact"/>
                    <w:jc w:val="left"/>
                    <w:jc w:val="center"/>
                  </w:pPr>
                  <w:r>
                    <w:t xml:space="preserve">market_type</w:t>
                  </w:r>
                </w:p>
              </w:tc>
            </w:tr>
            <w:tr>
              <w:tc>
                <w:tcPr/>
                <w:p>
                  <w:pPr>
                    <w:pStyle w:val="Compact"/>
                    <w:jc w:val="left"/>
                    <w:jc w:val="center"/>
                  </w:pPr>
                  <w:r>
                    <w:t xml:space="preserve">block</w:t>
                  </w:r>
                </w:p>
              </w:tc>
              <w:tc>
                <w:tcPr/>
                <w:p>
                  <w:pPr>
                    <w:pStyle w:val="Compact"/>
                    <w:jc w:val="left"/>
                    <w:jc w:val="center"/>
                  </w:pPr>
                  <w:r>
                    <w:t xml:space="preserve">plot_harvest_length</w:t>
                  </w:r>
                </w:p>
              </w:tc>
            </w:tr>
            <w:tr>
              <w:tc>
                <w:tcPr/>
                <w:p>
                  <w:pPr>
                    <w:pStyle w:val="Compact"/>
                    <w:jc w:val="left"/>
                    <w:jc w:val="center"/>
                  </w:pPr>
                  <w:r>
                    <w:t xml:space="preserve">plot_number</w:t>
                  </w:r>
                </w:p>
              </w:tc>
              <w:tc>
                <w:tcPr/>
                <w:p>
                  <w:pPr>
                    <w:pStyle w:val="Compact"/>
                    <w:jc w:val="left"/>
                    <w:jc w:val="center"/>
                  </w:pPr>
                  <w:r>
                    <w:t xml:space="preserve">plot_harvest_width</w:t>
                  </w:r>
                </w:p>
              </w:tc>
            </w:tr>
            <w:tr>
              <w:tc>
                <w:tcPr/>
                <w:p>
                  <w:pPr>
                    <w:pStyle w:val="Compact"/>
                    <w:jc w:val="left"/>
                    <w:jc w:val="center"/>
                  </w:pPr>
                  <w:r>
                    <w:t xml:space="preserve">plot_weight</w:t>
                  </w:r>
                </w:p>
              </w:tc>
              <w:tc>
                <w:tcPr/>
                <w:p>
                  <w:pPr>
                    <w:pStyle w:val="Compact"/>
                    <w:jc w:val="left"/>
                    <w:jc w:val="center"/>
                  </w:pPr>
                  <w:r>
                    <w:t xml:space="preserve">plots_per_acre</w:t>
                  </w:r>
                </w:p>
              </w:tc>
            </w:tr>
            <w:tr>
              <w:tc>
                <w:tcPr/>
                <w:p>
                  <w:pPr>
                    <w:pStyle w:val="Compact"/>
                    <w:jc w:val="left"/>
                    <w:jc w:val="center"/>
                  </w:pPr>
                  <w:r>
                    <w:t xml:space="preserve">total_seed_weight</w:t>
                  </w:r>
                </w:p>
              </w:tc>
              <w:tc>
                <w:tcPr/>
                <w:p>
                  <w:pPr>
                    <w:pStyle w:val="Compact"/>
                    <w:jc w:val="left"/>
                    <w:jc w:val="center"/>
                  </w:pPr>
                  <w:r>
                    <w:t xml:space="preserve">plot_row_number</w:t>
                  </w:r>
                </w:p>
              </w:tc>
            </w:tr>
            <w:tr>
              <w:tc>
                <w:tcPr/>
                <w:p>
                  <w:pPr>
                    <w:pStyle w:val="Compact"/>
                    <w:jc w:val="left"/>
                    <w:jc w:val="center"/>
                  </w:pPr>
                  <w:r>
                    <w:t xml:space="preserve">total_seed_count</w:t>
                  </w:r>
                </w:p>
              </w:tc>
              <w:tc>
                <w:tcPr/>
                <w:p>
                  <w:pPr>
                    <w:pStyle w:val="Compact"/>
                    <w:jc w:val="left"/>
                    <w:jc w:val="center"/>
                  </w:pPr>
                  <w:r>
                    <w:t xml:space="preserve">plot_column_number</w:t>
                  </w:r>
                </w:p>
              </w:tc>
            </w:tr>
            <w:tr>
              <w:tc>
                <w:tcPr/>
                <w:p>
                  <w:pPr>
                    <w:pStyle w:val="Compact"/>
                    <w:jc w:val="left"/>
                    <w:jc w:val="center"/>
                  </w:pPr>
                  <w:r>
                    <w:t xml:space="preserve">calc_seed_weight_200</w:t>
                  </w:r>
                </w:p>
              </w:tc>
              <w:tc>
                <w:tcPr/>
                <w:p>
                  <w:pPr>
                    <w:pStyle w:val="Compact"/>
                    <w:jc w:val="left"/>
                    <w:jc w:val="center"/>
                  </w:pPr>
                  <w:r>
                    <w:t xml:space="preserve">notes</w:t>
                  </w:r>
                </w:p>
              </w:tc>
            </w:tr>
            <w:tr>
              <w:tc>
                <w:tcPr/>
                <w:p>
                  <w:pPr>
                    <w:pStyle w:val="Compact"/>
                    <w:jc w:val="left"/>
                    <w:jc w:val="center"/>
                  </w:pPr>
                  <w:r>
                    <w:t xml:space="preserve">seed_weight_200</w:t>
                  </w:r>
                </w:p>
              </w:tc>
              <w:tc>
                <w:tcPr/>
                <w:p>
                  <w:pPr>
                    <w:pStyle w:val="Compact"/>
                    <w:jc w:val="left"/>
                    <w:jc w:val="center"/>
                  </w:pPr>
                  <w:r>
                    <w:t xml:space="preserve">plots</w:t>
                  </w:r>
                </w:p>
              </w:tc>
            </w:tr>
          </w:tbl>
          <w:bookmarkEnd w:id="22"/>
          <w:p/>
        </w:tc>
      </w:tr>
    </w:tbl>
    <w:bookmarkEnd w:id="23"/>
    <w:bookmarkStart w:id="24" w:name="questionshypotheses-to-be-addressed"/>
    <w:p>
      <w:pPr>
        <w:pStyle w:val="Heading2"/>
      </w:pPr>
      <w:r>
        <w:t xml:space="preserve">2.3 Questions/Hypotheses to be addressed</w:t>
      </w:r>
    </w:p>
    <w:p>
      <w:pPr>
        <w:pStyle w:val="FirstParagraph"/>
      </w:pPr>
      <w:r>
        <w:t xml:space="preserve">With the scope of this dataset, I will try to answer the following questions:</w:t>
      </w:r>
    </w:p>
    <w:p>
      <w:pPr>
        <w:numPr>
          <w:ilvl w:val="0"/>
          <w:numId w:val="1003"/>
        </w:numPr>
      </w:pPr>
      <w:r>
        <w:t xml:space="preserve">Do peanut varieties differ significantly in yield?</w:t>
      </w:r>
    </w:p>
    <w:p>
      <w:pPr>
        <w:numPr>
          <w:ilvl w:val="0"/>
          <w:numId w:val="1003"/>
        </w:numPr>
      </w:pPr>
      <w:r>
        <w:t xml:space="preserve">Does location significantly affect yield?</w:t>
      </w:r>
    </w:p>
    <w:p>
      <w:pPr>
        <w:numPr>
          <w:ilvl w:val="0"/>
          <w:numId w:val="1003"/>
        </w:numPr>
      </w:pPr>
      <w:r>
        <w:t xml:space="preserve">Does irrigation significantly affect yield?</w:t>
      </w:r>
    </w:p>
    <w:p>
      <w:r>
        <w:br w:type="page"/>
      </w:r>
    </w:p>
    <w:bookmarkEnd w:id="24"/>
    <w:bookmarkEnd w:id="25"/>
    <w:bookmarkStart w:id="29"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6" w:name="data-acquisition"/>
    <w:p>
      <w:pPr>
        <w:pStyle w:val="Heading2"/>
      </w:pPr>
      <w:r>
        <w:t xml:space="preserve">3.1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6"/>
    <w:bookmarkStart w:id="27" w:name="data-import-and-cleaning"/>
    <w:p>
      <w:pPr>
        <w:pStyle w:val="Heading2"/>
      </w:pPr>
      <w:r>
        <w:t xml:space="preserve">3.2 Data import and cleaning</w:t>
      </w:r>
    </w:p>
    <w:p>
      <w:pPr>
        <w:pStyle w:val="FirstParagraph"/>
      </w:pPr>
      <w:r>
        <w:t xml:space="preserve">Missing information in the form of whitespace and -9 were converted to missing data. Columns that contained numeric information (e.g., total_seed_weight, seed_per_pound, etc.) but classified as characters were converted to numeric data. A subset of the data was created to contain variables necessary for this study: year, location, watered, variety, peanut_yield. Peanut variety names were converted to numbers to keep specific variety performance confidential as requested by the data provider. Lastly, entries with missing data were removed and only varieties grown in all four (4) locations were kept.</w:t>
      </w:r>
    </w:p>
    <w:bookmarkEnd w:id="27"/>
    <w:bookmarkStart w:id="28" w:name="statistical-analysis"/>
    <w:p>
      <w:pPr>
        <w:pStyle w:val="Heading2"/>
      </w:pPr>
      <w:r>
        <w:t xml:space="preserve">3.3 Statistical analysis</w:t>
      </w:r>
    </w:p>
    <w:p>
      <w:pPr>
        <w:pStyle w:val="FirstParagraph"/>
      </w:pPr>
      <w:r>
        <w:t xml:space="preserve">Peanut yield was analyzed as a continuous response variable to evaluate the effects of variety, location, and irrigation treatment. Differences in yield among peanut varieties and among locations were assessed using analysis of variance (ANOVA). To account for environmental variation, models included year and location effects where appropriate. Differences in yield between irrigated and non-irrigated conditions were evaluated using a two-sample t-test. All statistical analyses were assessed at α = 0.05.</w:t>
      </w:r>
    </w:p>
    <w:p>
      <w:r>
        <w:br w:type="page"/>
      </w:r>
    </w:p>
    <w:bookmarkEnd w:id="28"/>
    <w:bookmarkEnd w:id="29"/>
    <w:bookmarkStart w:id="61" w:name="results"/>
    <w:p>
      <w:pPr>
        <w:pStyle w:val="Heading1"/>
      </w:pPr>
      <w:r>
        <w:t xml:space="preserve">4. Results</w:t>
      </w:r>
    </w:p>
    <w:bookmarkStart w:id="47" w:name="exploratorydescriptive-analysis"/>
    <w:p>
      <w:pPr>
        <w:pStyle w:val="Heading2"/>
      </w:pPr>
      <w:r>
        <w:t xml:space="preserve">4.1 Exploratory/Descriptive analysis</w:t>
      </w:r>
    </w:p>
    <w:p>
      <w:pPr>
        <w:pStyle w:val="FirstParagraph"/>
      </w:pPr>
      <w:r>
        <w:t xml:space="preserve">Peanut yield varied widely among the tested varieties (Figure 2). Median yield values spanned a broad range, from 799 to 9,171 lb/acre. While many varieties clustered around intermediate yields (~4,000–6,000 lb/acre), several varieties exhibited consistently higher or lower performance. Substantial within-variety variability was also observed, as indicated by the spread of the boxplots and presence of outliers. Overall, these results suggest considerable differences in yield potential among peanut varieties.</w:t>
      </w:r>
    </w:p>
    <w:tbl>
      <w:tblPr>
        <w:tblStyle w:val="Table"/>
        <w:tblW w:type="pct" w:w="5000"/>
        <w:tblLayout w:type="fixed"/>
        <w:tblLook w:firstRow="0" w:lastRow="0" w:firstColumn="0" w:lastColumn="0" w:noHBand="0" w:noVBand="0" w:val="0000"/>
      </w:tblPr>
      <w:tblGrid>
        <w:gridCol w:w="7920"/>
      </w:tblGrid>
      <w:tr>
        <w:tc>
          <w:tcPr/>
          <w:bookmarkStart w:id="33" w:name="fig-eda1"/>
          <w:p>
            <w:pPr>
              <w:pStyle w:val="Compact"/>
              <w:jc w:val="center"/>
            </w:pPr>
            <w:r>
              <w:drawing>
                <wp:inline>
                  <wp:extent cx="5334000" cy="3807460"/>
                  <wp:effectExtent b="0" l="0" r="0" t="0"/>
                  <wp:docPr descr="" title="" id="31" name="Picture"/>
                  <a:graphic>
                    <a:graphicData uri="http://schemas.openxmlformats.org/drawingml/2006/picture">
                      <pic:pic>
                        <pic:nvPicPr>
                          <pic:cNvPr descr="../../results/figures/eda_p1.png" id="32" name="Picture"/>
                          <pic:cNvPicPr>
                            <a:picLocks noChangeArrowheads="1" noChangeAspect="1"/>
                          </pic:cNvPicPr>
                        </pic:nvPicPr>
                        <pic:blipFill>
                          <a:blip r:embed="rId30"/>
                          <a:stretch>
                            <a:fillRect/>
                          </a:stretch>
                        </pic:blipFill>
                        <pic:spPr bwMode="auto">
                          <a:xfrm>
                            <a:off x="0" y="0"/>
                            <a:ext cx="5334000" cy="3807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Yield by variety.</w:t>
            </w:r>
          </w:p>
          <w:bookmarkEnd w:id="33"/>
        </w:tc>
      </w:tr>
    </w:tbl>
    <w:p>
      <w:pPr>
        <w:pStyle w:val="BodyText"/>
      </w:pPr>
      <w:r>
        <w:t xml:space="preserve">Peanut yield differed between irrigated and non-irrigated conditions (Figure 3). Irrigated plots (watered = TRUE) exhibited a higher median yield compared to non-irrigated plots (watered = FALSE). The distribution of yields under irrigation was also shifted upward, with a greater proportion of observations exceeding 5,000 lb/acre. Although variability was present in both groups, the overall pattern indicates that irrigation is associated with increased peanut yield.</w:t>
      </w:r>
    </w:p>
    <w:tbl>
      <w:tblPr>
        <w:tblStyle w:val="Table"/>
        <w:tblW w:type="pct" w:w="5000"/>
        <w:tblLayout w:type="fixed"/>
        <w:tblLook w:firstRow="0" w:lastRow="0" w:firstColumn="0" w:lastColumn="0" w:noHBand="0" w:noVBand="0" w:val="0000"/>
      </w:tblPr>
      <w:tblGrid>
        <w:gridCol w:w="7920"/>
      </w:tblGrid>
      <w:tr>
        <w:tc>
          <w:tcPr/>
          <w:bookmarkStart w:id="37" w:name="fig-eda2"/>
          <w:p>
            <w:pPr>
              <w:pStyle w:val="Compact"/>
              <w:jc w:val="center"/>
            </w:pPr>
            <w:r>
              <w:drawing>
                <wp:inline>
                  <wp:extent cx="5334000" cy="5334000"/>
                  <wp:effectExtent b="0" l="0" r="0" t="0"/>
                  <wp:docPr descr="" title="" id="35" name="Picture"/>
                  <a:graphic>
                    <a:graphicData uri="http://schemas.openxmlformats.org/drawingml/2006/picture">
                      <pic:pic>
                        <pic:nvPicPr>
                          <pic:cNvPr descr="../../results/figures/eda_p2.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Yield by irrigation.</w:t>
            </w:r>
          </w:p>
          <w:bookmarkEnd w:id="37"/>
        </w:tc>
      </w:tr>
    </w:tbl>
    <w:p>
      <w:pPr>
        <w:pStyle w:val="BodyText"/>
      </w:pPr>
      <w:r>
        <w:t xml:space="preserve">Yield varied across the four testing locations (Figure 4). Attapulgus exhibited the highest median yield, with values generally concentrated between 6,000 and 7,000 lb/acre. In contrast, Plains showed the lowest median yield and greater variability, with many observations below 5,000 lb/acre. Midville and Tifton displayed intermediate yield distributions, though Midville exhibited a wider spread, including both low and high yield observations. These differences highlight the influence of location on peanut yield performance.</w:t>
      </w:r>
    </w:p>
    <w:tbl>
      <w:tblPr>
        <w:tblStyle w:val="Table"/>
        <w:tblW w:type="pct" w:w="5000"/>
        <w:tblLayout w:type="fixed"/>
        <w:tblLook w:firstRow="0" w:lastRow="0" w:firstColumn="0" w:lastColumn="0" w:noHBand="0" w:noVBand="0" w:val="0000"/>
      </w:tblPr>
      <w:tblGrid>
        <w:gridCol w:w="7920"/>
      </w:tblGrid>
      <w:tr>
        <w:tc>
          <w:tcPr/>
          <w:bookmarkStart w:id="41" w:name="fig-eda3"/>
          <w:p>
            <w:pPr>
              <w:pStyle w:val="Compact"/>
              <w:jc w:val="center"/>
            </w:pPr>
            <w:r>
              <w:drawing>
                <wp:inline>
                  <wp:extent cx="5334000" cy="5334000"/>
                  <wp:effectExtent b="0" l="0" r="0" t="0"/>
                  <wp:docPr descr="" title="" id="39" name="Picture"/>
                  <a:graphic>
                    <a:graphicData uri="http://schemas.openxmlformats.org/drawingml/2006/picture">
                      <pic:pic>
                        <pic:nvPicPr>
                          <pic:cNvPr descr="../../results/figures/eda_p3.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Yield by location.</w:t>
            </w:r>
          </w:p>
          <w:bookmarkEnd w:id="41"/>
        </w:tc>
      </w:tr>
    </w:tbl>
    <w:p>
      <w:pPr>
        <w:pStyle w:val="BodyText"/>
      </w:pPr>
      <w:r>
        <w:t xml:space="preserve">Temporal patterns in yield varied by location (Figure 5). In Midville, yield showed a general upward trend over time, particularly in the later years. Attapulgus exhibited relatively high yields, though limited observations were available. Plains displayed substantial year-to-year variability with no clear long-term trend, while Tifton showed moderate fluctuations, including a notable decline around 2020 followed by recovery in subsequent years.</w:t>
      </w:r>
    </w:p>
    <w:tbl>
      <w:tblPr>
        <w:tblStyle w:val="Table"/>
        <w:tblW w:type="pct" w:w="5000"/>
        <w:tblLayout w:type="fixed"/>
        <w:tblLook w:firstRow="0" w:lastRow="0" w:firstColumn="0" w:lastColumn="0" w:noHBand="0" w:noVBand="0" w:val="0000"/>
      </w:tblPr>
      <w:tblGrid>
        <w:gridCol w:w="7920"/>
      </w:tblGrid>
      <w:tr>
        <w:tc>
          <w:tcPr/>
          <w:bookmarkStart w:id="45" w:name="fig-eda4"/>
          <w:p>
            <w:pPr>
              <w:pStyle w:val="Compact"/>
              <w:jc w:val="center"/>
            </w:pPr>
            <w:r>
              <w:drawing>
                <wp:inline>
                  <wp:extent cx="5334000" cy="5334000"/>
                  <wp:effectExtent b="0" l="0" r="0" t="0"/>
                  <wp:docPr descr="" title="" id="43" name="Picture"/>
                  <a:graphic>
                    <a:graphicData uri="http://schemas.openxmlformats.org/drawingml/2006/picture">
                      <pic:pic>
                        <pic:nvPicPr>
                          <pic:cNvPr descr="../../results/figures/eda_p4.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Yield across years by location.</w:t>
            </w:r>
          </w:p>
          <w:bookmarkEnd w:id="45"/>
        </w:tc>
      </w:tr>
    </w:tbl>
    <w:p>
      <w:pPr>
        <w:pStyle w:val="BodyText"/>
      </w:pPr>
      <w:hyperlink w:anchor="tbl-summarytable">
        <w:r>
          <w:rPr>
            <w:rStyle w:val="Hyperlink"/>
          </w:rPr>
          <w:t xml:space="preserve">Table 2</w:t>
        </w:r>
      </w:hyperlink>
      <w:r>
        <w:t xml:space="preserve"> </w:t>
      </w:r>
      <w:r>
        <w:t xml:space="preserve">shows a summary of the data.</w:t>
      </w:r>
    </w:p>
    <w:tbl>
      <w:tblPr>
        <w:tblStyle w:val="Table"/>
        <w:tblW w:type="pct" w:w="5000"/>
        <w:tblLayout w:type="fixed"/>
        <w:tblLook w:firstRow="0" w:lastRow="0" w:firstColumn="0" w:lastColumn="0" w:noHBand="0" w:noVBand="0" w:val="0000"/>
      </w:tblPr>
      <w:tblGrid>
        <w:gridCol w:w="7920"/>
      </w:tblGrid>
      <w:tr>
        <w:tc>
          <w:tcPr/>
          <w:bookmarkStart w:id="46" w:name="tbl-summarytable"/>
          <w:p>
            <w:pPr>
              <w:jc w:val="center"/>
            </w:pPr>
            <w:pPr>
              <w:jc w:val="left"/>
              <w:spacing w:before="200"/>
              <w:pStyle w:val="ImageCaption"/>
            </w:pPr>
            <w:r>
              <w:t xml:space="preserve">Table 2: Data 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n_variety</w:t>
                  </w:r>
                </w:p>
              </w:tc>
              <w:tc>
                <w:tcPr/>
                <w:p>
                  <w:pPr>
                    <w:pStyle w:val="Compact"/>
                    <w:jc w:val="right"/>
                    <w:jc w:val="center"/>
                  </w:pPr>
                  <w:r>
                    <w:t xml:space="preserve">n_location</w:t>
                  </w:r>
                </w:p>
              </w:tc>
              <w:tc>
                <w:tcPr/>
                <w:p>
                  <w:pPr>
                    <w:pStyle w:val="Compact"/>
                    <w:jc w:val="right"/>
                    <w:jc w:val="center"/>
                  </w:pPr>
                  <w:r>
                    <w:t xml:space="preserve">n_year</w:t>
                  </w:r>
                </w:p>
              </w:tc>
            </w:tr>
            <w:tr>
              <w:tc>
                <w:tcPr/>
                <w:p>
                  <w:pPr>
                    <w:pStyle w:val="Compact"/>
                    <w:jc w:val="right"/>
                    <w:jc w:val="center"/>
                  </w:pPr>
                  <w:r>
                    <w:t xml:space="preserve">34</w:t>
                  </w:r>
                </w:p>
              </w:tc>
              <w:tc>
                <w:tcPr/>
                <w:p>
                  <w:pPr>
                    <w:pStyle w:val="Compact"/>
                    <w:jc w:val="right"/>
                    <w:jc w:val="center"/>
                  </w:pPr>
                  <w:r>
                    <w:t xml:space="preserve">4</w:t>
                  </w:r>
                </w:p>
              </w:tc>
              <w:tc>
                <w:tcPr/>
                <w:p>
                  <w:pPr>
                    <w:pStyle w:val="Compact"/>
                    <w:jc w:val="right"/>
                    <w:jc w:val="center"/>
                  </w:pPr>
                  <w:r>
                    <w:t xml:space="preserve">12</w:t>
                  </w:r>
                </w:p>
              </w:tc>
            </w:tr>
          </w:tbl>
          <w:bookmarkEnd w:id="46"/>
          <w:p/>
        </w:tc>
      </w:tr>
    </w:tbl>
    <w:bookmarkEnd w:id="47"/>
    <w:bookmarkStart w:id="51" w:name="basic-statistical-analysis"/>
    <w:p>
      <w:pPr>
        <w:pStyle w:val="Heading2"/>
      </w:pPr>
      <w:r>
        <w:t xml:space="preserve">4.2 Basic statistical analysis</w:t>
      </w:r>
    </w:p>
    <w:p>
      <w:pPr>
        <w:pStyle w:val="FirstParagraph"/>
      </w:pPr>
      <w:r>
        <w:t xml:space="preserve">Peanut yield differed significantly among varieties (ANOVA, F₃₃,₄₄₈₁ = 14.3, p &lt; 0.001). These results indicate that variety has a significant effect on yield, with substantial variation observed among the tested peanut varieties.</w:t>
      </w:r>
    </w:p>
    <w:tbl>
      <w:tblPr>
        <w:tblStyle w:val="Table"/>
        <w:tblW w:type="pct" w:w="5000"/>
        <w:tblLayout w:type="fixed"/>
        <w:tblLook w:firstRow="0" w:lastRow="0" w:firstColumn="0" w:lastColumn="0" w:noHBand="0" w:noVBand="0" w:val="0000"/>
      </w:tblPr>
      <w:tblGrid>
        <w:gridCol w:w="7920"/>
      </w:tblGrid>
      <w:tr>
        <w:tc>
          <w:tcPr/>
          <w:bookmarkStart w:id="48" w:name="tbl-resulttable2"/>
          <w:p>
            <w:pPr>
              <w:jc w:val="center"/>
            </w:pPr>
            <w:pPr>
              <w:jc w:val="left"/>
              <w:spacing w:before="200"/>
              <w:pStyle w:val="ImageCaption"/>
            </w:pPr>
            <w:r>
              <w:t xml:space="preserve">Table 3: ANOVA results for the effect of peanut variety on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variety</w:t>
                  </w:r>
                </w:p>
              </w:tc>
              <w:tc>
                <w:tcPr/>
                <w:p>
                  <w:pPr>
                    <w:pStyle w:val="Compact"/>
                    <w:jc w:val="right"/>
                    <w:jc w:val="center"/>
                  </w:pPr>
                  <w:r>
                    <w:t xml:space="preserve">33</w:t>
                  </w:r>
                </w:p>
              </w:tc>
              <w:tc>
                <w:tcPr/>
                <w:p>
                  <w:pPr>
                    <w:pStyle w:val="Compact"/>
                    <w:jc w:val="right"/>
                    <w:jc w:val="center"/>
                  </w:pPr>
                  <w:r>
                    <w:t xml:space="preserve">746871293</w:t>
                  </w:r>
                </w:p>
              </w:tc>
              <w:tc>
                <w:tcPr/>
                <w:p>
                  <w:pPr>
                    <w:pStyle w:val="Compact"/>
                    <w:jc w:val="right"/>
                    <w:jc w:val="center"/>
                  </w:pPr>
                  <w:r>
                    <w:t xml:space="preserve">22632463</w:t>
                  </w:r>
                </w:p>
              </w:tc>
              <w:tc>
                <w:tcPr/>
                <w:p>
                  <w:pPr>
                    <w:pStyle w:val="Compact"/>
                    <w:jc w:val="right"/>
                    <w:jc w:val="center"/>
                  </w:pPr>
                  <w:r>
                    <w:t xml:space="preserve">14.28449</w:t>
                  </w:r>
                </w:p>
              </w:tc>
              <w:tc>
                <w:tcPr/>
                <w:p>
                  <w:pPr>
                    <w:pStyle w:val="Compact"/>
                    <w:jc w:val="right"/>
                    <w:jc w:val="center"/>
                  </w:pPr>
                  <w:r>
                    <w:t xml:space="preserve">0</w:t>
                  </w:r>
                </w:p>
              </w:tc>
            </w:tr>
            <w:tr>
              <w:tc>
                <w:tcPr/>
                <w:p>
                  <w:pPr>
                    <w:pStyle w:val="Compact"/>
                    <w:jc w:val="left"/>
                    <w:jc w:val="center"/>
                  </w:pPr>
                  <w:r>
                    <w:t xml:space="preserve">Residuals</w:t>
                  </w:r>
                </w:p>
              </w:tc>
              <w:tc>
                <w:tcPr/>
                <w:p>
                  <w:pPr>
                    <w:pStyle w:val="Compact"/>
                    <w:jc w:val="right"/>
                    <w:jc w:val="center"/>
                  </w:pPr>
                  <w:r>
                    <w:t xml:space="preserve">4481</w:t>
                  </w:r>
                </w:p>
              </w:tc>
              <w:tc>
                <w:tcPr/>
                <w:p>
                  <w:pPr>
                    <w:pStyle w:val="Compact"/>
                    <w:jc w:val="right"/>
                    <w:jc w:val="center"/>
                  </w:pPr>
                  <w:r>
                    <w:t xml:space="preserve">7099735373</w:t>
                  </w:r>
                </w:p>
              </w:tc>
              <w:tc>
                <w:tcPr/>
                <w:p>
                  <w:pPr>
                    <w:pStyle w:val="Compact"/>
                    <w:jc w:val="right"/>
                    <w:jc w:val="center"/>
                  </w:pPr>
                  <w:r>
                    <w:t xml:space="preserve">1584409</w:t>
                  </w:r>
                </w:p>
              </w:tc>
              <w:tc>
                <w:tcPr/>
                <w:p>
                  <w:pPr>
                    <w:pStyle w:val="Compact"/>
                    <w:jc w:val="right"/>
                    <w:jc w:val="center"/>
                  </w:pPr>
                  <w:r>
                    <w:t xml:space="preserve">NA</w:t>
                  </w:r>
                </w:p>
              </w:tc>
              <w:tc>
                <w:tcPr/>
                <w:p>
                  <w:pPr>
                    <w:pStyle w:val="Compact"/>
                    <w:jc w:val="right"/>
                    <w:jc w:val="center"/>
                  </w:pPr>
                  <w:r>
                    <w:t xml:space="preserve">NA</w:t>
                  </w:r>
                </w:p>
              </w:tc>
            </w:tr>
          </w:tbl>
          <w:bookmarkEnd w:id="48"/>
          <w:p/>
        </w:tc>
      </w:tr>
    </w:tbl>
    <w:p>
      <w:pPr>
        <w:pStyle w:val="BodyText"/>
      </w:pPr>
      <w:r>
        <w:t xml:space="preserve">Peanut yield differed significantly among locations (ANOVA, F₃,₄₅₁₁ = 333, p &lt; 0.001). This indicates that location has a strong effect on yield, with substantial variation in peanut production observed across the tested environments.</w:t>
      </w:r>
    </w:p>
    <w:tbl>
      <w:tblPr>
        <w:tblStyle w:val="Table"/>
        <w:tblW w:type="pct" w:w="5000"/>
        <w:tblLayout w:type="fixed"/>
        <w:tblLook w:firstRow="0" w:lastRow="0" w:firstColumn="0" w:lastColumn="0" w:noHBand="0" w:noVBand="0" w:val="0000"/>
      </w:tblPr>
      <w:tblGrid>
        <w:gridCol w:w="7920"/>
      </w:tblGrid>
      <w:tr>
        <w:tc>
          <w:tcPr/>
          <w:bookmarkStart w:id="49" w:name="tbl-resulttable3"/>
          <w:p>
            <w:pPr>
              <w:jc w:val="center"/>
            </w:pPr>
            <w:pPr>
              <w:jc w:val="left"/>
              <w:spacing w:before="200"/>
              <w:pStyle w:val="ImageCaption"/>
            </w:pPr>
            <w:r>
              <w:t xml:space="preserve">Table 4: ANOVA results for the effect of location on peanut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location</w:t>
                  </w:r>
                </w:p>
              </w:tc>
              <w:tc>
                <w:tcPr/>
                <w:p>
                  <w:pPr>
                    <w:pStyle w:val="Compact"/>
                    <w:jc w:val="right"/>
                    <w:jc w:val="center"/>
                  </w:pPr>
                  <w:r>
                    <w:t xml:space="preserve">3</w:t>
                  </w:r>
                </w:p>
              </w:tc>
              <w:tc>
                <w:tcPr/>
                <w:p>
                  <w:pPr>
                    <w:pStyle w:val="Compact"/>
                    <w:jc w:val="right"/>
                    <w:jc w:val="center"/>
                  </w:pPr>
                  <w:r>
                    <w:t xml:space="preserve">1423193199</w:t>
                  </w:r>
                </w:p>
              </w:tc>
              <w:tc>
                <w:tcPr/>
                <w:p>
                  <w:pPr>
                    <w:pStyle w:val="Compact"/>
                    <w:jc w:val="right"/>
                    <w:jc w:val="center"/>
                  </w:pPr>
                  <w:r>
                    <w:t xml:space="preserve">474397733</w:t>
                  </w:r>
                </w:p>
              </w:tc>
              <w:tc>
                <w:tcPr/>
                <w:p>
                  <w:pPr>
                    <w:pStyle w:val="Compact"/>
                    <w:jc w:val="right"/>
                    <w:jc w:val="center"/>
                  </w:pPr>
                  <w:r>
                    <w:t xml:space="preserve">333.1575</w:t>
                  </w:r>
                </w:p>
              </w:tc>
              <w:tc>
                <w:tcPr/>
                <w:p>
                  <w:pPr>
                    <w:pStyle w:val="Compact"/>
                    <w:jc w:val="right"/>
                    <w:jc w:val="center"/>
                  </w:pPr>
                  <w:r>
                    <w:t xml:space="preserve">0</w:t>
                  </w:r>
                </w:p>
              </w:tc>
            </w:tr>
            <w:tr>
              <w:tc>
                <w:tcPr/>
                <w:p>
                  <w:pPr>
                    <w:pStyle w:val="Compact"/>
                    <w:jc w:val="left"/>
                    <w:jc w:val="center"/>
                  </w:pPr>
                  <w:r>
                    <w:t xml:space="preserve">Residuals</w:t>
                  </w:r>
                </w:p>
              </w:tc>
              <w:tc>
                <w:tcPr/>
                <w:p>
                  <w:pPr>
                    <w:pStyle w:val="Compact"/>
                    <w:jc w:val="right"/>
                    <w:jc w:val="center"/>
                  </w:pPr>
                  <w:r>
                    <w:t xml:space="preserve">4511</w:t>
                  </w:r>
                </w:p>
              </w:tc>
              <w:tc>
                <w:tcPr/>
                <w:p>
                  <w:pPr>
                    <w:pStyle w:val="Compact"/>
                    <w:jc w:val="right"/>
                    <w:jc w:val="center"/>
                  </w:pPr>
                  <w:r>
                    <w:t xml:space="preserve">6423413466</w:t>
                  </w:r>
                </w:p>
              </w:tc>
              <w:tc>
                <w:tcPr/>
                <w:p>
                  <w:pPr>
                    <w:pStyle w:val="Compact"/>
                    <w:jc w:val="right"/>
                    <w:jc w:val="center"/>
                  </w:pPr>
                  <w:r>
                    <w:t xml:space="preserve">1423944</w:t>
                  </w:r>
                </w:p>
              </w:tc>
              <w:tc>
                <w:tcPr/>
                <w:p>
                  <w:pPr>
                    <w:pStyle w:val="Compact"/>
                    <w:jc w:val="right"/>
                    <w:jc w:val="center"/>
                  </w:pPr>
                  <w:r>
                    <w:t xml:space="preserve">NA</w:t>
                  </w:r>
                </w:p>
              </w:tc>
              <w:tc>
                <w:tcPr/>
                <w:p>
                  <w:pPr>
                    <w:pStyle w:val="Compact"/>
                    <w:jc w:val="right"/>
                    <w:jc w:val="center"/>
                  </w:pPr>
                  <w:r>
                    <w:t xml:space="preserve">NA</w:t>
                  </w:r>
                </w:p>
              </w:tc>
            </w:tr>
          </w:tbl>
          <w:bookmarkEnd w:id="49"/>
          <w:p/>
        </w:tc>
      </w:tr>
    </w:tbl>
    <w:p>
      <w:pPr>
        <w:pStyle w:val="BodyText"/>
      </w:pPr>
      <w:r>
        <w:t xml:space="preserve">Peanut yield differed significantly between irrigated and non-irrigated conditions (Welch two-sample t-test, t₄₁₅₂.₁ = −26.32, p &lt; 0.001). Irrigated plots exhibited a higher mean yield (5815.8 lb/acre) compared to non-irrigated plots (4841.8 lb/acre), indicating that irrigation has a positive effect on peanut production.</w:t>
      </w:r>
    </w:p>
    <w:tbl>
      <w:tblPr>
        <w:tblStyle w:val="Table"/>
        <w:tblW w:type="pct" w:w="5000"/>
        <w:tblLayout w:type="fixed"/>
        <w:tblLook w:firstRow="0" w:lastRow="0" w:firstColumn="0" w:lastColumn="0" w:noHBand="0" w:noVBand="0" w:val="0000"/>
      </w:tblPr>
      <w:tblGrid>
        <w:gridCol w:w="7920"/>
      </w:tblGrid>
      <w:tr>
        <w:tc>
          <w:tcPr/>
          <w:bookmarkStart w:id="50" w:name="tbl-resulttable4"/>
          <w:p>
            <w:pPr>
              <w:jc w:val="center"/>
            </w:pPr>
            <w:pPr>
              <w:jc w:val="left"/>
              <w:spacing w:before="200"/>
              <w:pStyle w:val="ImageCaption"/>
            </w:pPr>
            <w:r>
              <w:t xml:space="preserve">Table 5: Results of Welch two-sample t-test comparing peanut yield between irrigated and non-irrigated conditions.</w:t>
            </w:r>
          </w:p>
          <w:tbl>
            <w:tblPr>
              <w:tblStyle w:val="Table"/>
              <w:tblW w:type="pct" w:w="5000"/>
              <w:tblLayout w:type="fixed"/>
              <w:tblLook w:firstRow="1" w:lastRow="0" w:firstColumn="0" w:lastColumn="0" w:noHBand="0" w:noVBand="0" w:val="0020"/>
            </w:tblPr>
            <w:tblGrid>
              <w:gridCol w:w="694"/>
              <w:gridCol w:w="694"/>
              <w:gridCol w:w="694"/>
              <w:gridCol w:w="694"/>
              <w:gridCol w:w="555"/>
              <w:gridCol w:w="694"/>
              <w:gridCol w:w="694"/>
              <w:gridCol w:w="694"/>
              <w:gridCol w:w="1667"/>
              <w:gridCol w:w="833"/>
            </w:tblGrid>
            <w:tr>
              <w:trPr>
                <w:tblHeader w:val="on"/>
              </w:trPr>
              <w:tc>
                <w:tcPr/>
                <w:p>
                  <w:pPr>
                    <w:pStyle w:val="Compact"/>
                    <w:jc w:val="right"/>
                    <w:jc w:val="center"/>
                  </w:pPr>
                  <w:r>
                    <w:t xml:space="preserve">estimate</w:t>
                  </w:r>
                </w:p>
              </w:tc>
              <w:tc>
                <w:tcPr/>
                <w:p>
                  <w:pPr>
                    <w:pStyle w:val="Compact"/>
                    <w:jc w:val="right"/>
                    <w:jc w:val="center"/>
                  </w:pPr>
                  <w:r>
                    <w:t xml:space="preserve">estimate1</w:t>
                  </w:r>
                </w:p>
              </w:tc>
              <w:tc>
                <w:tcPr/>
                <w:p>
                  <w:pPr>
                    <w:pStyle w:val="Compact"/>
                    <w:jc w:val="right"/>
                    <w:jc w:val="center"/>
                  </w:pPr>
                  <w:r>
                    <w:t xml:space="preserve">estimate2</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parameter</w:t>
                  </w:r>
                </w:p>
              </w:tc>
              <w:tc>
                <w:tcPr/>
                <w:p>
                  <w:pPr>
                    <w:pStyle w:val="Compact"/>
                    <w:jc w:val="right"/>
                    <w:jc w:val="center"/>
                  </w:pPr>
                  <w:r>
                    <w:t xml:space="preserve">conf.low</w:t>
                  </w:r>
                </w:p>
              </w:tc>
              <w:tc>
                <w:tcPr/>
                <w:p>
                  <w:pPr>
                    <w:pStyle w:val="Compact"/>
                    <w:jc w:val="right"/>
                    <w:jc w:val="center"/>
                  </w:pPr>
                  <w:r>
                    <w:t xml:space="preserve">conf.high</w:t>
                  </w:r>
                </w:p>
              </w:tc>
              <w:tc>
                <w:tcPr/>
                <w:p>
                  <w:pPr>
                    <w:pStyle w:val="Compact"/>
                    <w:jc w:val="left"/>
                    <w:jc w:val="center"/>
                  </w:pPr>
                  <w:r>
                    <w:t xml:space="preserve">method</w:t>
                  </w:r>
                </w:p>
              </w:tc>
              <w:tc>
                <w:tcPr/>
                <w:p>
                  <w:pPr>
                    <w:pStyle w:val="Compact"/>
                    <w:jc w:val="left"/>
                    <w:jc w:val="center"/>
                  </w:pPr>
                  <w:r>
                    <w:t xml:space="preserve">alternative</w:t>
                  </w:r>
                </w:p>
              </w:tc>
            </w:tr>
            <w:tr>
              <w:tc>
                <w:tcPr/>
                <w:p>
                  <w:pPr>
                    <w:pStyle w:val="Compact"/>
                    <w:jc w:val="right"/>
                    <w:jc w:val="center"/>
                  </w:pPr>
                  <w:r>
                    <w:t xml:space="preserve">-974.0101</w:t>
                  </w:r>
                </w:p>
              </w:tc>
              <w:tc>
                <w:tcPr/>
                <w:p>
                  <w:pPr>
                    <w:pStyle w:val="Compact"/>
                    <w:jc w:val="right"/>
                    <w:jc w:val="center"/>
                  </w:pPr>
                  <w:r>
                    <w:t xml:space="preserve">4841.783</w:t>
                  </w:r>
                </w:p>
              </w:tc>
              <w:tc>
                <w:tcPr/>
                <w:p>
                  <w:pPr>
                    <w:pStyle w:val="Compact"/>
                    <w:jc w:val="right"/>
                    <w:jc w:val="center"/>
                  </w:pPr>
                  <w:r>
                    <w:t xml:space="preserve">5815.793</w:t>
                  </w:r>
                </w:p>
              </w:tc>
              <w:tc>
                <w:tcPr/>
                <w:p>
                  <w:pPr>
                    <w:pStyle w:val="Compact"/>
                    <w:jc w:val="right"/>
                    <w:jc w:val="center"/>
                  </w:pPr>
                  <w:r>
                    <w:t xml:space="preserve">-26.31908</w:t>
                  </w:r>
                </w:p>
              </w:tc>
              <w:tc>
                <w:tcPr/>
                <w:p>
                  <w:pPr>
                    <w:pStyle w:val="Compact"/>
                    <w:jc w:val="right"/>
                    <w:jc w:val="center"/>
                  </w:pPr>
                  <w:r>
                    <w:t xml:space="preserve">0</w:t>
                  </w:r>
                </w:p>
              </w:tc>
              <w:tc>
                <w:tcPr/>
                <w:p>
                  <w:pPr>
                    <w:pStyle w:val="Compact"/>
                    <w:jc w:val="right"/>
                    <w:jc w:val="center"/>
                  </w:pPr>
                  <w:r>
                    <w:t xml:space="preserve">4152.093</w:t>
                  </w:r>
                </w:p>
              </w:tc>
              <w:tc>
                <w:tcPr/>
                <w:p>
                  <w:pPr>
                    <w:pStyle w:val="Compact"/>
                    <w:jc w:val="right"/>
                    <w:jc w:val="center"/>
                  </w:pPr>
                  <w:r>
                    <w:t xml:space="preserve">-1046.565</w:t>
                  </w:r>
                </w:p>
              </w:tc>
              <w:tc>
                <w:tcPr/>
                <w:p>
                  <w:pPr>
                    <w:pStyle w:val="Compact"/>
                    <w:jc w:val="right"/>
                    <w:jc w:val="center"/>
                  </w:pPr>
                  <w:r>
                    <w:t xml:space="preserve">-901.455</w:t>
                  </w:r>
                </w:p>
              </w:tc>
              <w:tc>
                <w:tcPr/>
                <w:p>
                  <w:pPr>
                    <w:pStyle w:val="Compact"/>
                    <w:jc w:val="left"/>
                    <w:jc w:val="center"/>
                  </w:pPr>
                  <w:r>
                    <w:t xml:space="preserve">Welch Two Sample t-test</w:t>
                  </w:r>
                </w:p>
              </w:tc>
              <w:tc>
                <w:tcPr/>
                <w:p>
                  <w:pPr>
                    <w:pStyle w:val="Compact"/>
                    <w:jc w:val="left"/>
                    <w:jc w:val="center"/>
                  </w:pPr>
                  <w:r>
                    <w:t xml:space="preserve">two.sided</w:t>
                  </w:r>
                </w:p>
              </w:tc>
            </w:tr>
          </w:tbl>
          <w:bookmarkEnd w:id="50"/>
          <w:p/>
        </w:tc>
      </w:tr>
    </w:tbl>
    <w:bookmarkEnd w:id="51"/>
    <w:bookmarkStart w:id="60" w:name="full-analysis"/>
    <w:p>
      <w:pPr>
        <w:pStyle w:val="Heading2"/>
      </w:pPr>
      <w:r>
        <w:t xml:space="preserve">4.3 Full analysis</w:t>
      </w:r>
    </w:p>
    <w:p>
      <w:pPr>
        <w:pStyle w:val="FirstParagraph"/>
      </w:pPr>
      <w:r>
        <w:t xml:space="preserve">To explore patterns in peanut variety performance, an unsupervised machine learning approach was applied using k-means clustering. Prior to clustering, yield data were summarized at the variety level to capture key performance characteristics, including average yield, yield variability (standard deviation), and responsiveness to irrigation (difference between irrigated and non-irrigated yield). These features were selected to represent productivity, stability, and environmental responsiveness, which are important traits in agricultural systems.</w:t>
      </w:r>
    </w:p>
    <w:p>
      <w:pPr>
        <w:pStyle w:val="BodyText"/>
      </w:pPr>
      <w:r>
        <w:t xml:space="preserve">Because these variables were measured on different scales, all features were standardized prior to analysis. The optimal number of clusters was determined using the elbow method, which evaluates within-cluster sum of squares (WSS) across different values of k. A noticeable reduction in WSS was observed up to k = 4, after which improvements diminished, and thus three clusters were selected.</w:t>
      </w:r>
    </w:p>
    <w:tbl>
      <w:tblPr>
        <w:tblStyle w:val="Table"/>
        <w:tblW w:type="pct" w:w="5000"/>
        <w:tblLayout w:type="fixed"/>
        <w:tblLook w:firstRow="0" w:lastRow="0" w:firstColumn="0" w:lastColumn="0" w:noHBand="0" w:noVBand="0" w:val="0000"/>
      </w:tblPr>
      <w:tblGrid>
        <w:gridCol w:w="7920"/>
      </w:tblGrid>
      <w:tr>
        <w:tc>
          <w:tcPr/>
          <w:bookmarkStart w:id="55" w:name="fig-elbow_plot"/>
          <w:p>
            <w:pPr>
              <w:pStyle w:val="Compact"/>
              <w:jc w:val="center"/>
            </w:pPr>
            <w:r>
              <w:drawing>
                <wp:inline>
                  <wp:extent cx="5334000" cy="5334000"/>
                  <wp:effectExtent b="0" l="0" r="0" t="0"/>
                  <wp:docPr descr="" title="" id="53" name="Picture"/>
                  <a:graphic>
                    <a:graphicData uri="http://schemas.openxmlformats.org/drawingml/2006/picture">
                      <pic:pic>
                        <pic:nvPicPr>
                          <pic:cNvPr descr="../../results/figures/elbow.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Determination of the optimal number of clusters using the elbow method. The within-cluster sum of squares (WSS) is plotted against the number of clusters (k).</w:t>
            </w:r>
          </w:p>
          <w:bookmarkEnd w:id="55"/>
        </w:tc>
      </w:tr>
    </w:tbl>
    <w:p>
      <w:pPr>
        <w:pStyle w:val="BodyText"/>
      </w:pPr>
      <w:r>
        <w:t xml:space="preserve">Principal component analysis (PCA) was used to visualize the clustering results in reduced dimensional space. The first two principal components explained a substantial proportion of the variation in the data, allowing clear separation of the identified clusters. These clusters corresponded to biologically meaningful groupings of peanut varieties, including high-yielding but variable varieties with strong irrigation response, more stable varieties with lower responsiveness, and intermediate-performing varieties. This suggests that clustering effectively captured key differences in yield performance and stability among varieties.</w:t>
      </w:r>
    </w:p>
    <w:tbl>
      <w:tblPr>
        <w:tblStyle w:val="Table"/>
        <w:tblW w:type="pct" w:w="5000"/>
        <w:tblLayout w:type="fixed"/>
        <w:tblLook w:firstRow="0" w:lastRow="0" w:firstColumn="0" w:lastColumn="0" w:noHBand="0" w:noVBand="0" w:val="0000"/>
      </w:tblPr>
      <w:tblGrid>
        <w:gridCol w:w="7920"/>
      </w:tblGrid>
      <w:tr>
        <w:tc>
          <w:tcPr/>
          <w:bookmarkStart w:id="59" w:name="fig-pca_plot"/>
          <w:p>
            <w:pPr>
              <w:pStyle w:val="Compact"/>
              <w:jc w:val="center"/>
            </w:pPr>
            <w:r>
              <w:drawing>
                <wp:inline>
                  <wp:extent cx="5334000" cy="5334000"/>
                  <wp:effectExtent b="0" l="0" r="0" t="0"/>
                  <wp:docPr descr="" title="" id="57" name="Picture"/>
                  <a:graphic>
                    <a:graphicData uri="http://schemas.openxmlformats.org/drawingml/2006/picture">
                      <pic:pic>
                        <pic:nvPicPr>
                          <pic:cNvPr descr="../../results/figures/pca.png" id="58" name="Picture"/>
                          <pic:cNvPicPr>
                            <a:picLocks noChangeArrowheads="1" noChangeAspect="1"/>
                          </pic:cNvPicPr>
                        </pic:nvPicPr>
                        <pic:blipFill>
                          <a:blip r:embed="rId5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Principal component analysis (PCA) of peanut varieties based on yield-related traits. Varieties are grouped using k-means clustering (k = 3), with each point representing a variety.</w:t>
            </w:r>
          </w:p>
          <w:bookmarkEnd w:id="59"/>
        </w:tc>
      </w:tr>
    </w:tbl>
    <w:p>
      <w:r>
        <w:br w:type="page"/>
      </w:r>
    </w:p>
    <w:bookmarkEnd w:id="60"/>
    <w:bookmarkEnd w:id="61"/>
    <w:bookmarkStart w:id="65" w:name="discussion"/>
    <w:p>
      <w:pPr>
        <w:pStyle w:val="Heading1"/>
      </w:pPr>
      <w:r>
        <w:t xml:space="preserve">5. Discussion</w:t>
      </w:r>
    </w:p>
    <w:bookmarkStart w:id="62"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62"/>
    <w:bookmarkStart w:id="63"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63"/>
    <w:bookmarkStart w:id="64"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r>
        <w:br w:type="page"/>
      </w:r>
    </w:p>
    <w:bookmarkEnd w:id="64"/>
    <w:bookmarkEnd w:id="65"/>
    <w:bookmarkStart w:id="66" w:name="references"/>
    <w:p>
      <w:pPr>
        <w:pStyle w:val="Heading1"/>
      </w:pPr>
      <w:r>
        <w:t xml:space="preserve">6. References</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of Peanut Variety Performance in a State Variety Testing Program</dc:title>
  <dc:creator/>
  <cp:keywords/>
  <dcterms:created xsi:type="dcterms:W3CDTF">2026-04-10T14:44:36Z</dcterms:created>
  <dcterms:modified xsi:type="dcterms:W3CDTF">2026-04-10T14:44:36Z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