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E593" w14:textId="77777777" w:rsidR="003E0884" w:rsidRDefault="00000000">
      <w:pPr>
        <w:pStyle w:val="Title"/>
      </w:pPr>
      <w:r>
        <w:t xml:space="preserve">Identifying Key Metadata Predictors of </w:t>
      </w:r>
      <w:r>
        <w:rPr>
          <w:i/>
          <w:iCs/>
        </w:rPr>
        <w:t>Salmonella</w:t>
      </w:r>
      <w:r>
        <w:t xml:space="preserve"> AMR Genotypes through Machine Learning</w:t>
      </w:r>
    </w:p>
    <w:p w14:paraId="7F4122F2" w14:textId="77777777" w:rsidR="003E0884" w:rsidRDefault="00000000">
      <w:pPr>
        <w:pStyle w:val="Author"/>
      </w:pPr>
      <w:r>
        <w:t>Marco Reina</w:t>
      </w:r>
    </w:p>
    <w:p w14:paraId="00E6A982" w14:textId="77777777" w:rsidR="003E0884" w:rsidRDefault="00000000">
      <w:pPr>
        <w:pStyle w:val="FirstParagraph"/>
      </w:pPr>
      <w:r>
        <w:rPr>
          <w:b/>
          <w:bCs/>
        </w:rPr>
        <w:t>Author</w:t>
      </w:r>
    </w:p>
    <w:p w14:paraId="2C01A2FD" w14:textId="77777777" w:rsidR="003E0884" w:rsidRDefault="00000000">
      <w:pPr>
        <w:pStyle w:val="Compact"/>
        <w:numPr>
          <w:ilvl w:val="0"/>
          <w:numId w:val="2"/>
        </w:numPr>
      </w:pPr>
      <w:r>
        <w:t>Marco Reina</w:t>
      </w:r>
      <m:oMath>
        <m:sSup>
          <m:sSupPr>
            <m:ctrlPr>
              <w:rPr>
                <w:rFonts w:ascii="Cambria Math" w:hAnsi="Cambria Math"/>
              </w:rPr>
            </m:ctrlPr>
          </m:sSupPr>
          <m:e>
            <m:r>
              <w:rPr>
                <w:rFonts w:ascii="Cambria Math" w:hAnsi="Cambria Math"/>
              </w:rPr>
              <m:t>​</m:t>
            </m:r>
          </m:e>
          <m:sup>
            <m:r>
              <w:rPr>
                <w:rFonts w:ascii="Cambria Math" w:hAnsi="Cambria Math"/>
              </w:rPr>
              <m:t>1</m:t>
            </m:r>
          </m:sup>
        </m:sSup>
      </m:oMath>
    </w:p>
    <w:p w14:paraId="55D697AE" w14:textId="77777777" w:rsidR="003E0884" w:rsidRDefault="00000000">
      <w:pPr>
        <w:pStyle w:val="FirstParagraph"/>
      </w:pPr>
      <w:r>
        <w:rPr>
          <w:b/>
          <w:bCs/>
        </w:rPr>
        <w:t>Author affiliations</w:t>
      </w:r>
    </w:p>
    <w:p w14:paraId="2485D667" w14:textId="77777777" w:rsidR="003E0884" w:rsidRDefault="00000000">
      <w:pPr>
        <w:pStyle w:val="Compact"/>
        <w:numPr>
          <w:ilvl w:val="0"/>
          <w:numId w:val="3"/>
        </w:numPr>
      </w:pPr>
      <w:r>
        <w:t>Department of Poultry Science, University of Georgia, Athens, GA, USA.</w:t>
      </w:r>
    </w:p>
    <w:p w14:paraId="3D7EE3AB" w14:textId="77777777" w:rsidR="003E0884" w:rsidRDefault="00000000">
      <w:pPr>
        <w:pStyle w:val="FirstParagraph"/>
      </w:pPr>
      <m:oMath>
        <m:r>
          <m:rPr>
            <m:sty m:val="p"/>
          </m:rPr>
          <w:rPr>
            <w:rFonts w:ascii="Cambria Math" w:hAnsi="Cambria Math"/>
          </w:rPr>
          <m:t>*</m:t>
        </m:r>
      </m:oMath>
      <w:r>
        <w:t xml:space="preserve"> These authors contributed equally to this work.</w:t>
      </w:r>
    </w:p>
    <w:p w14:paraId="47F0DE14" w14:textId="77777777" w:rsidR="003E0884" w:rsidRDefault="00000000">
      <w:pPr>
        <w:pStyle w:val="BodyText"/>
      </w:pPr>
      <m:oMath>
        <m:r>
          <m:rPr>
            <m:sty m:val="p"/>
          </m:rPr>
          <w:rPr>
            <w:rFonts w:ascii="Cambria Math" w:hAnsi="Cambria Math"/>
          </w:rPr>
          <m:t>∧</m:t>
        </m:r>
      </m:oMath>
      <w:r>
        <w:t xml:space="preserve"> Corresponding author: marco.reinaantillon@uga.edu</w:t>
      </w:r>
    </w:p>
    <w:p w14:paraId="7E847FA0" w14:textId="77777777" w:rsidR="003E0884" w:rsidRDefault="00000000">
      <w:pPr>
        <w:pStyle w:val="BodyText"/>
      </w:pPr>
      <m:oMath>
        <m:r>
          <m:rPr>
            <m:sty m:val="p"/>
          </m:rPr>
          <w:rPr>
            <w:rFonts w:ascii="Cambria Math" w:hAnsi="Cambria Math"/>
          </w:rPr>
          <m:t>†</m:t>
        </m:r>
      </m:oMath>
      <w:r>
        <w:t xml:space="preserve"> The author utilized AI tools, specifically Qween and Gemini, for code troubleshooting; and the use of Copilot to refine the English writing.</w:t>
      </w:r>
    </w:p>
    <w:p w14:paraId="3C211F93" w14:textId="77777777" w:rsidR="003E0884" w:rsidRDefault="00000000">
      <w:r>
        <w:br w:type="page"/>
      </w:r>
    </w:p>
    <w:p w14:paraId="5DC52D62" w14:textId="77777777" w:rsidR="003E0884" w:rsidRDefault="00000000">
      <w:pPr>
        <w:pStyle w:val="Heading1"/>
      </w:pPr>
      <w:bookmarkStart w:id="0" w:name="summaryabstract"/>
      <w:r>
        <w:lastRenderedPageBreak/>
        <w:t>1. Summary/Abstract</w:t>
      </w:r>
    </w:p>
    <w:p w14:paraId="706AE06A" w14:textId="77777777" w:rsidR="003E0884" w:rsidRDefault="00000000">
      <w:pPr>
        <w:pStyle w:val="FirstParagraph"/>
      </w:pPr>
      <w:r>
        <w:t xml:space="preserve">In the United States, nontyphoidal </w:t>
      </w:r>
      <w:r>
        <w:rPr>
          <w:i/>
          <w:iCs/>
        </w:rPr>
        <w:t>Salmonella</w:t>
      </w:r>
      <w:r>
        <w:t xml:space="preserve"> 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 </w:t>
      </w:r>
      <w:r>
        <w:rPr>
          <w:i/>
          <w:iCs/>
        </w:rPr>
        <w:t>Salmonella</w:t>
      </w:r>
      <w:r>
        <w:t xml:space="preserve"> isolates using readily available metadata, which included isolation source, serotype, and temporal variables. This approach is helpful because expedites the analysis and offers a first quick screening before obtaining the whole-genome sequencing data. Using a curated dataset of 688,980 isolates from the NCBI Pathogen Detection repository, a binary outcome variable model was engineered, which helps indicating presence or absence of resistance to at least one antimicrobial class. A random forest classifier was implemented via the tidymodels framework (Kuhn &amp; Wickham, 2020),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14:paraId="4F303E37" w14:textId="77777777" w:rsidR="003E0884" w:rsidRDefault="003E0884">
      <w:pPr>
        <w:pStyle w:val="BodyText"/>
      </w:pPr>
      <w:hyperlink r:id="rId5">
        <w:r>
          <w:rPr>
            <w:rStyle w:val="Hyperlink"/>
          </w:rPr>
          <w:t>Complete iterative process available here</w:t>
        </w:r>
      </w:hyperlink>
    </w:p>
    <w:p w14:paraId="08CF99A1" w14:textId="77777777" w:rsidR="003E0884" w:rsidRDefault="00000000">
      <w:r>
        <w:br w:type="page"/>
      </w:r>
    </w:p>
    <w:p w14:paraId="1F455A35" w14:textId="77777777" w:rsidR="003E0884" w:rsidRDefault="00000000">
      <w:pPr>
        <w:pStyle w:val="Heading1"/>
      </w:pPr>
      <w:bookmarkStart w:id="1" w:name="introduction"/>
      <w:bookmarkEnd w:id="0"/>
      <w:r>
        <w:lastRenderedPageBreak/>
        <w:t>2. Introduction</w:t>
      </w:r>
    </w:p>
    <w:p w14:paraId="42A256E1" w14:textId="77777777" w:rsidR="003E0884" w:rsidRDefault="00000000">
      <w:pPr>
        <w:pStyle w:val="FirstParagraph"/>
      </w:pPr>
      <w:r>
        <w:t xml:space="preserve">Antimicrobial resistance (AMR) is a escalating global public health threat, projected to contribute to 10 million deaths annually by 2050 if current trends continue (O’Neill, 2016; World Health Organization, 2024). Foodborne pathogens, particularly nontyphoidal </w:t>
      </w:r>
      <w:r>
        <w:rPr>
          <w:i/>
          <w:iCs/>
        </w:rPr>
        <w:t>Salmonella</w:t>
      </w:r>
      <w:r>
        <w:t xml:space="preserve">, which plays a central role in the transmission of resistant bacteria from agricultural and environmental reservoirs to human populations (CDC, 2024). In the United States alone, it is estimated that </w:t>
      </w:r>
      <w:r>
        <w:rPr>
          <w:i/>
          <w:iCs/>
        </w:rPr>
        <w:t>Salmonella</w:t>
      </w:r>
      <w:r>
        <w:t xml:space="preserve"> causes around 1.35 million illnesses each year, and infections involving resistant strains are associated with longer durations of illness, higher rates of hospitalization, and increased treatment complexity (CDC, 2024; WHO, 2022).</w:t>
      </w:r>
    </w:p>
    <w:p w14:paraId="68EBD558" w14:textId="77777777" w:rsidR="003E0884" w:rsidRDefault="00000000">
      <w:pPr>
        <w:pStyle w:val="BodyText"/>
      </w:pPr>
      <w:r>
        <w:t>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Metadata, by contrast, are routinely collected, standardized, and immediately accessible. This raises an important question: Can readily available isolate metadata alone support accurate, scalable prediction of AMR status to inform proactive public health interventions?</w:t>
      </w:r>
    </w:p>
    <w:p w14:paraId="3A64887B" w14:textId="77777777" w:rsidR="003E0884" w:rsidRDefault="00000000">
      <w:pPr>
        <w:pStyle w:val="BodyText"/>
      </w:pPr>
      <w:r>
        <w:t xml:space="preserve">The objective of this project is to develop and evaluate a machine learning model that predicts antimicrobial resistance prevalence in </w:t>
      </w:r>
      <w:r>
        <w:rPr>
          <w:i/>
          <w:iCs/>
        </w:rPr>
        <w:t>Salmonella</w:t>
      </w:r>
      <w:r>
        <w:t xml:space="preserve"> isolates using only metadata variables, specifically isolation source, top serovars, and temporal indicators. By leveraging a random forest classifier within the tidymodels framework (Kuhn &amp; Wickham, 2020), this work aims to demonstrate the feasibility of metadata-driven risk stratification as a complementary tool for food safety surveillance and early-warning systems.</w:t>
      </w:r>
    </w:p>
    <w:p w14:paraId="3DD4A5A9" w14:textId="77777777" w:rsidR="003E0884" w:rsidRDefault="00000000">
      <w:pPr>
        <w:pStyle w:val="Heading2"/>
      </w:pPr>
      <w:bookmarkStart w:id="2" w:name="general-background-information"/>
      <w:r>
        <w:t>2.1 General Background Information</w:t>
      </w:r>
    </w:p>
    <w:p w14:paraId="21E4091B" w14:textId="77777777" w:rsidR="003E0884" w:rsidRDefault="00000000">
      <w:pPr>
        <w:pStyle w:val="FirstParagraph"/>
      </w:pPr>
      <w:r>
        <w:t xml:space="preserve">Antimicrobial resistance in </w:t>
      </w:r>
      <w:r>
        <w:rPr>
          <w:i/>
          <w:iCs/>
        </w:rPr>
        <w:t>Salmonella</w:t>
      </w:r>
      <w:r>
        <w:t xml:space="preserve"> 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14:paraId="443E19F0" w14:textId="77777777" w:rsidR="003E0884" w:rsidRDefault="00000000">
      <w:pPr>
        <w:pStyle w:val="BodyText"/>
      </w:pPr>
      <w:r>
        <w:t xml:space="preserve">Multidrug resistance (MDR), which is defined as non-susceptibility to ≥3 antimicrobial classes, is increasingly prevalent in nontyphoidal </w:t>
      </w:r>
      <w:r>
        <w:rPr>
          <w:i/>
          <w:iCs/>
        </w:rPr>
        <w:t>Salmonella</w:t>
      </w:r>
      <w:r>
        <w:t xml:space="preserve"> and poses significant treatment challenges. MDR often arises through co-selection mechanisms, where </w:t>
      </w:r>
      <w:r>
        <w:lastRenderedPageBreak/>
        <w:t>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14:paraId="1D75F0D2" w14:textId="77777777" w:rsidR="003E0884" w:rsidRDefault="00000000">
      <w:pPr>
        <w:pStyle w:val="BodyText"/>
      </w:pPr>
      <w:r>
        <w:t xml:space="preserve">Serovar and isolation source are consistently among the strongest predictors of AMR status in </w:t>
      </w:r>
      <w:r>
        <w:rPr>
          <w:i/>
          <w:iCs/>
        </w:rPr>
        <w:t>Salmonella</w:t>
      </w:r>
      <w:r>
        <w:t xml:space="preserve"> surveillance data. Certain serovars exhibit characteristic resistance profiles: for instance, S. Typhimurium and S.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14:paraId="50A45997" w14:textId="77777777" w:rsidR="003E0884" w:rsidRDefault="00000000">
      <w:pPr>
        <w:pStyle w:val="BodyText"/>
      </w:pPr>
      <w:r>
        <w:t xml:space="preserve">Serovar Infantis has emerged as a globally disseminated, multidrug-resistant clone of particular concern in poultry production systems. Its success is largely attributed to the pESI (p_Salmonella_ Infantis) megaplasmid (~280 kb), a conjugative plasmid that carries multiple resistance determinants (e.g., blaCTX-M-65,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 </w:t>
      </w:r>
      <w:r>
        <w:rPr>
          <w:i/>
          <w:iCs/>
        </w:rPr>
        <w:t>Salmonella</w:t>
      </w:r>
      <w:r>
        <w:t xml:space="preserve"> serovars, facilitating rapid dissemination of MDR traits across reservoirs. The global expansion of pESI-positive S. Infantis underscores the importance of metadata-driven surveillance to detect and track high-risk clones before they cause widespread outbreaks.</w:t>
      </w:r>
    </w:p>
    <w:p w14:paraId="4C0DE3A0" w14:textId="77777777" w:rsidR="003E0884" w:rsidRDefault="00000000">
      <w:pPr>
        <w:pStyle w:val="Heading2"/>
      </w:pPr>
      <w:bookmarkStart w:id="3" w:name="description-of-data-and-data-source"/>
      <w:bookmarkEnd w:id="2"/>
      <w:r>
        <w:t>2.2 Description of Data and Data Source</w:t>
      </w:r>
    </w:p>
    <w:p w14:paraId="4BE24EEF" w14:textId="77777777" w:rsidR="003E0884" w:rsidRDefault="00000000">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analytical dataset comprises 688,980 </w:t>
      </w:r>
      <w:r>
        <w:rPr>
          <w:i/>
          <w:iCs/>
        </w:rPr>
        <w:t>Salmonella</w:t>
      </w:r>
      <w:r>
        <w:t xml:space="preserve"> enterica isolates collected from human clinical cases, food animals, retail meats, and environmental sources across the United States between 2010–2024.</w:t>
      </w:r>
    </w:p>
    <w:p w14:paraId="43FB108C" w14:textId="77777777" w:rsidR="003E0884" w:rsidRDefault="00000000">
      <w:pPr>
        <w:pStyle w:val="Heading2"/>
      </w:pPr>
      <w:bookmarkStart w:id="4" w:name="key-metadata-variables-include"/>
      <w:bookmarkEnd w:id="3"/>
      <w:r>
        <w:t>2.3 Key metadata variables include:</w:t>
      </w:r>
    </w:p>
    <w:p w14:paraId="11B6B004" w14:textId="77777777" w:rsidR="003E0884" w:rsidRDefault="00000000">
      <w:pPr>
        <w:pStyle w:val="FirstParagraph"/>
      </w:pPr>
      <w:r>
        <w:t xml:space="preserve">Isolation source (e.g., human, food, animal, or environmental) Serovar Collection date (year and month) Geographic origin (state/country) Antimicrobial susceptibility testing </w:t>
      </w:r>
      <w:r>
        <w:lastRenderedPageBreak/>
        <w:t>(AST) results for 14+ antimicrobials, interpreted using Clinical and Laboratory Standards Institute (CLSI) breakpoints</w:t>
      </w:r>
    </w:p>
    <w:p w14:paraId="288B452C" w14:textId="77777777" w:rsidR="003E0884" w:rsidRDefault="00000000">
      <w:pPr>
        <w:pStyle w:val="BodyText"/>
      </w:pPr>
      <w:r>
        <w:t>AMR status was operationalized as a binary outcome: an isolate was classified as “resistant” if it exhibited non-susceptibility to ≥1 antimicrobial class; otherwise, it was classified as “susceptible.” 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 All analyses were conducted using de-identified, publicly available data in NCBI data.</w:t>
      </w:r>
    </w:p>
    <w:p w14:paraId="01E979E9" w14:textId="77777777" w:rsidR="003E0884" w:rsidRDefault="00000000">
      <w:pPr>
        <w:pStyle w:val="Heading2"/>
      </w:pPr>
      <w:bookmarkStart w:id="5" w:name="questionshypotheses-to-be-addressed"/>
      <w:bookmarkEnd w:id="4"/>
      <w:r>
        <w:t>2.4 Questions/Hypotheses to be addressed</w:t>
      </w:r>
    </w:p>
    <w:p w14:paraId="74F699B6" w14:textId="77777777" w:rsidR="003E0884" w:rsidRDefault="00000000">
      <w:pPr>
        <w:pStyle w:val="FirstParagraph"/>
      </w:pPr>
      <w:r>
        <w:t xml:space="preserve">Can readily available metadata variables (isolation source, serovar, and collection timing) predict antimicrobial resistance status in </w:t>
      </w:r>
      <w:r>
        <w:rPr>
          <w:i/>
          <w:iCs/>
        </w:rPr>
        <w:t>Salmonella</w:t>
      </w:r>
      <w:r>
        <w:t xml:space="preserve"> isolates before obtaining the whole-genome sequencing results?</w:t>
      </w:r>
    </w:p>
    <w:p w14:paraId="3373D28E" w14:textId="77777777" w:rsidR="003E0884" w:rsidRDefault="00000000">
      <w:pPr>
        <w:pStyle w:val="Heading1"/>
      </w:pPr>
      <w:bookmarkStart w:id="6" w:name="methods"/>
      <w:bookmarkEnd w:id="1"/>
      <w:bookmarkEnd w:id="5"/>
      <w:r>
        <w:t>3. Methods</w:t>
      </w:r>
    </w:p>
    <w:p w14:paraId="7D6170AB" w14:textId="77777777" w:rsidR="003E0884" w:rsidRDefault="00000000">
      <w:pPr>
        <w:pStyle w:val="Heading2"/>
      </w:pPr>
      <w:bookmarkStart w:id="7" w:name="data-preparation-and-splitting"/>
      <w:r>
        <w:t>3.1 Data Preparation and Splitting</w:t>
      </w:r>
    </w:p>
    <w:p w14:paraId="1E2C3D38" w14:textId="77777777" w:rsidR="003E0884" w:rsidRDefault="00000000">
      <w:pPr>
        <w:pStyle w:val="FirstParagraph"/>
      </w:pPr>
      <w:r>
        <w:t>Isolate-level metadata and antimicrobial susceptibility data were extracted from the NCBI Pathogen Detection repository. Following quality control, the dataset was partitioned into training (75%) and testing (25%) subsets using stratified random sampling to preserve the original class distribution of antimicrobial resistance (AMR) status. All analyses were conducted on publicly available data in accordance with NCBI data use policies.</w:t>
      </w:r>
    </w:p>
    <w:p w14:paraId="223552CE" w14:textId="77777777" w:rsidR="003E0884" w:rsidRDefault="00000000">
      <w:pPr>
        <w:pStyle w:val="Heading2"/>
      </w:pPr>
      <w:bookmarkStart w:id="8" w:name="feature-engineering-and-preprocessing"/>
      <w:bookmarkEnd w:id="7"/>
      <w:r>
        <w:t>3.2 Feature Engineering and Preprocessing</w:t>
      </w:r>
    </w:p>
    <w:p w14:paraId="72B66AEC" w14:textId="77777777" w:rsidR="003E0884" w:rsidRDefault="00000000">
      <w:pPr>
        <w:pStyle w:val="FirstParagraph"/>
      </w:pPr>
      <w:r>
        <w:t>The outcome variable amr_prevalence was constructed as a binary factor, where “1” indicated resistance to ≥1 antimicrobial class and “0” indicated full susceptibility. Predictor variables were limited to routinely collected metadata: isolation source (Source.type), the 20 most prevalent serovars (top_20, with all others collapsed into an “Other” category), and collection month (sample_month). Categorical predictors were converted to factor type to enable appropriate encoding within the modeling workflow. No additional scaling or transformation was applied.</w:t>
      </w:r>
    </w:p>
    <w:p w14:paraId="5B30C184" w14:textId="77777777" w:rsidR="003E0884" w:rsidRDefault="00000000">
      <w:pPr>
        <w:pStyle w:val="Heading2"/>
      </w:pPr>
      <w:bookmarkStart w:id="9" w:name="model-specification-and-training"/>
      <w:bookmarkEnd w:id="8"/>
      <w:r>
        <w:t>3.3 Model Specification and Training</w:t>
      </w:r>
    </w:p>
    <w:p w14:paraId="787CC070" w14:textId="77777777" w:rsidR="003E0884" w:rsidRDefault="00000000">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 </w:t>
      </w:r>
      <w:r>
        <w:rPr>
          <w:i/>
          <w:iCs/>
        </w:rPr>
        <w:t>amr_prevalence ~ Source.type + top_20 + sample_month</w:t>
      </w:r>
      <w:r>
        <w:t xml:space="preserve">. The final model was trained on the complete training dataset, while cross-validated performance was estimated using fit_resamples(). </w:t>
      </w:r>
      <w:r>
        <w:lastRenderedPageBreak/>
        <w:t>Hyperparameters (e.g., number of trees, mtry, minimum node size) were evaluated at predefined values.</w:t>
      </w:r>
    </w:p>
    <w:p w14:paraId="64EF8092" w14:textId="77777777" w:rsidR="003E0884" w:rsidRDefault="00000000">
      <w:pPr>
        <w:pStyle w:val="Heading2"/>
      </w:pPr>
      <w:bookmarkStart w:id="10" w:name="performance-evaluation"/>
      <w:bookmarkEnd w:id="9"/>
      <w:r>
        <w:t>3.4 Performance Evaluation</w:t>
      </w:r>
    </w:p>
    <w:p w14:paraId="532452DB" w14:textId="77777777" w:rsidR="003E0884" w:rsidRDefault="00000000">
      <w:pPr>
        <w:pStyle w:val="FirstParagraph"/>
      </w:pPr>
      <w:r>
        <w:t>Model performance was evaluated on both the cross-validation resamples and the independent held-out test set using the yardstick package. Primary evaluation relied on the receiver operating characteristic area under the curve (ROC AUC),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 “class” and type = “prob”, respectively. A confusion matrix was generated to visualize true/false positive and negative classifications.</w:t>
      </w:r>
    </w:p>
    <w:p w14:paraId="338B7207" w14:textId="77777777" w:rsidR="003E0884" w:rsidRDefault="00000000">
      <w:pPr>
        <w:pStyle w:val="Heading2"/>
      </w:pPr>
      <w:bookmarkStart w:id="11" w:name="cross-validation"/>
      <w:bookmarkEnd w:id="10"/>
      <w:r>
        <w:t>3.5 Cross-Validation</w:t>
      </w:r>
    </w:p>
    <w:p w14:paraId="07A2418D" w14:textId="77777777" w:rsidR="003E0884" w:rsidRDefault="00000000">
      <w:pPr>
        <w:pStyle w:val="FirstParagraph"/>
      </w:pPr>
      <w:r>
        <w:t>To assess model generalizability and mitigate overfitting, 10-fold cross-validation was applied exclusively to the training set. Folds were generated using vfold_cv(v = 10), which randomly partitions the training data into 10 equally sized, non-overlapping subsets. During resampling, 9 folds were used for model training while the remaining fold served as a validation set. This process was iterated 10 times so that each observation was used exactly once for validation. Performance metrics were aggregated across all resamples to estimate out-of-sample predictive ability.</w:t>
      </w:r>
    </w:p>
    <w:p w14:paraId="76B96AE0" w14:textId="77777777" w:rsidR="003E0884" w:rsidRDefault="00000000">
      <w:pPr>
        <w:pStyle w:val="Heading2"/>
      </w:pPr>
      <w:bookmarkStart w:id="12" w:name="software-and-reproducibility"/>
      <w:bookmarkEnd w:id="11"/>
      <w:r>
        <w:t>3.6 Software and Reproducibility</w:t>
      </w:r>
    </w:p>
    <w:p w14:paraId="42461D78" w14:textId="77777777" w:rsidR="003E0884" w:rsidRDefault="00000000">
      <w:pPr>
        <w:pStyle w:val="FirstParagraph"/>
      </w:pPr>
      <w:r>
        <w:t>All data manipulation, modeling, and evaluation were performed in R (v4.x) using the tidymodels collection (v1.2.0), including rsample for resampling, workflows for pipeline integration, parsnip for model specification, ranger (v0.16.0) for random forest computation, and yardstick for metric calculation. A fixed random seed (set.seed()) was applied prior to data splitting, fold generation, and model training to ensure complete reproducibility. Analysis code and outputs are version-controlled and publicly accessible via the project repository.</w:t>
      </w:r>
    </w:p>
    <w:p w14:paraId="16E55572" w14:textId="77777777" w:rsidR="003E0884" w:rsidRDefault="00000000">
      <w:pPr>
        <w:pStyle w:val="Heading1"/>
      </w:pPr>
      <w:bookmarkStart w:id="13" w:name="results"/>
      <w:bookmarkEnd w:id="6"/>
      <w:bookmarkEnd w:id="12"/>
      <w:r>
        <w:t>4. Results</w:t>
      </w:r>
    </w:p>
    <w:p w14:paraId="770BA983" w14:textId="77777777" w:rsidR="003E0884" w:rsidRDefault="00000000">
      <w:pPr>
        <w:pStyle w:val="Heading2"/>
      </w:pPr>
      <w:bookmarkStart w:id="14" w:name="exploratory-data-analysis"/>
      <w:r>
        <w:t>4.1 Exploratory Data Analysis</w:t>
      </w:r>
    </w:p>
    <w:p w14:paraId="15730226" w14:textId="77777777" w:rsidR="003E0884" w:rsidRDefault="00000000">
      <w:pPr>
        <w:pStyle w:val="FirstParagraph"/>
      </w:pPr>
      <w:r>
        <w:t xml:space="preserve">We conducted an exploratory analysis of over 100,000 </w:t>
      </w:r>
      <w:r>
        <w:rPr>
          <w:i/>
          <w:iCs/>
        </w:rPr>
        <w:t>Salmonella</w:t>
      </w:r>
      <w:r>
        <w:t xml:space="preserve"> isolates and a high-quality genomic subset (</w:t>
      </w:r>
      <m:oMath>
        <m:r>
          <w:rPr>
            <w:rFonts w:ascii="Cambria Math" w:hAnsi="Cambria Math"/>
          </w:rPr>
          <m:t>n</m:t>
        </m:r>
        <m:r>
          <m:rPr>
            <m:sty m:val="p"/>
          </m:rPr>
          <w:rPr>
            <w:rFonts w:ascii="Cambria Math" w:hAnsi="Cambria Math"/>
          </w:rPr>
          <m:t>=</m:t>
        </m:r>
        <m:r>
          <w:rPr>
            <w:rFonts w:ascii="Cambria Math" w:hAnsi="Cambria Math"/>
          </w:rPr>
          <m:t>214</m:t>
        </m:r>
      </m:oMath>
      <w:r>
        <w:t>) to characterize trends in antimicrobial resistance (AMR) and genomic architecture. The most critical descriptive results are summarized below.</w:t>
      </w:r>
    </w:p>
    <w:p w14:paraId="78263382" w14:textId="77777777" w:rsidR="003E0884" w:rsidRDefault="003E0884">
      <w:pPr>
        <w:pStyle w:val="BodyText"/>
      </w:pPr>
      <w:hyperlink r:id="rId6">
        <w:r>
          <w:rPr>
            <w:rStyle w:val="Hyperlink"/>
          </w:rPr>
          <w:t>Complete EDA analysis here</w:t>
        </w:r>
      </w:hyperlink>
    </w:p>
    <w:p w14:paraId="6C92FBE8" w14:textId="77777777" w:rsidR="003E0884" w:rsidRDefault="00000000">
      <w:pPr>
        <w:pStyle w:val="Heading3"/>
      </w:pPr>
      <w:bookmarkStart w:id="15" w:name="isolate-trends-and-source-distribution"/>
      <w:r>
        <w:lastRenderedPageBreak/>
        <w:t>4.1.1 Isolate Trends and Source Distribution</w:t>
      </w:r>
    </w:p>
    <w:p w14:paraId="5DD6F2E2" w14:textId="77777777" w:rsidR="003E0884" w:rsidRDefault="00000000">
      <w:pPr>
        <w:pStyle w:val="FirstParagraph"/>
      </w:pPr>
      <w:r>
        <w:t xml:space="preserve">The vast majority of isolates in this dataset originate from human clinical cases, representing a significant focus on clinical surveillance. As shown in </w:t>
      </w:r>
      <w:hyperlink w:anchor="tbl-summarytable">
        <w:r w:rsidR="003E0884">
          <w:rPr>
            <w:rStyle w:val="Hyperlink"/>
          </w:rPr>
          <w:t>Table 1</w:t>
        </w:r>
      </w:hyperlink>
      <w:r>
        <w:t>, while clinical samples consistently dominate the dataset, there was a notable increase in food-related isolates during 2023 and 2024.</w:t>
      </w:r>
    </w:p>
    <w:tbl>
      <w:tblPr>
        <w:tblStyle w:val="Table"/>
        <w:tblW w:w="5000" w:type="pct"/>
        <w:tblLayout w:type="fixed"/>
        <w:tblLook w:val="0000" w:firstRow="0" w:lastRow="0" w:firstColumn="0" w:lastColumn="0" w:noHBand="0" w:noVBand="0"/>
      </w:tblPr>
      <w:tblGrid>
        <w:gridCol w:w="9576"/>
      </w:tblGrid>
      <w:tr w:rsidR="003E0884" w14:paraId="6CB0C54A" w14:textId="77777777">
        <w:tc>
          <w:tcPr>
            <w:tcW w:w="7920" w:type="dxa"/>
          </w:tcPr>
          <w:p w14:paraId="1A30AED5" w14:textId="77777777" w:rsidR="003E0884" w:rsidRDefault="00000000">
            <w:pPr>
              <w:pStyle w:val="ImageCaption"/>
              <w:spacing w:before="200"/>
            </w:pPr>
            <w:bookmarkStart w:id="16" w:name="tbl-summarytable"/>
            <w:r>
              <w:t>Table 1</w:t>
            </w:r>
          </w:p>
          <w:p w14:paraId="58AFD5FA" w14:textId="77777777" w:rsidR="003E0884" w:rsidRDefault="00000000">
            <w:pPr>
              <w:jc w:val="center"/>
            </w:pPr>
            <w:r>
              <w:rPr>
                <w:noProof/>
              </w:rPr>
              <w:drawing>
                <wp:inline distT="0" distB="0" distL="0" distR="0" wp14:anchorId="1C09BB36" wp14:editId="3C5FBDEA">
                  <wp:extent cx="5334000" cy="248982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results/tables/isolates1_summary_table_wide.PNG"/>
                          <pic:cNvPicPr>
                            <a:picLocks noChangeAspect="1" noChangeArrowheads="1"/>
                          </pic:cNvPicPr>
                        </pic:nvPicPr>
                        <pic:blipFill>
                          <a:blip r:embed="rId7"/>
                          <a:stretch>
                            <a:fillRect/>
                          </a:stretch>
                        </pic:blipFill>
                        <pic:spPr bwMode="auto">
                          <a:xfrm>
                            <a:off x="0" y="0"/>
                            <a:ext cx="5334000" cy="2489821"/>
                          </a:xfrm>
                          <a:prstGeom prst="rect">
                            <a:avLst/>
                          </a:prstGeom>
                          <a:noFill/>
                          <a:ln w="9525">
                            <a:noFill/>
                            <a:headEnd/>
                            <a:tailEnd/>
                          </a:ln>
                        </pic:spPr>
                      </pic:pic>
                    </a:graphicData>
                  </a:graphic>
                </wp:inline>
              </w:drawing>
            </w:r>
          </w:p>
        </w:tc>
        <w:bookmarkEnd w:id="16"/>
      </w:tr>
    </w:tbl>
    <w:p w14:paraId="548D902F" w14:textId="77777777" w:rsidR="003E0884" w:rsidRDefault="00000000">
      <w:pPr>
        <w:pStyle w:val="Heading3"/>
      </w:pPr>
      <w:bookmarkStart w:id="17" w:name="visualizing-amr-and-source-dynamics"/>
      <w:bookmarkEnd w:id="15"/>
      <w:r>
        <w:t>4.1.2 Visualizing AMR and Source Dynamics</w:t>
      </w:r>
    </w:p>
    <w:p w14:paraId="55E12EEB" w14:textId="77777777" w:rsidR="003E0884" w:rsidRDefault="00000000">
      <w:pPr>
        <w:pStyle w:val="FirstParagraph"/>
      </w:pPr>
      <w:r>
        <w:t xml:space="preserve">The temporal distribution of isolates across different sources is visualized in </w:t>
      </w:r>
      <w:hyperlink w:anchor="fig-isolates-trends">
        <w:r w:rsidR="003E0884">
          <w:rPr>
            <w:rStyle w:val="Hyperlink"/>
          </w:rPr>
          <w:t>Figure 1</w:t>
        </w:r>
      </w:hyperlink>
      <w:r>
        <w:t xml:space="preserve">. While raw counts are highest in human sources, </w:t>
      </w:r>
      <w:hyperlink w:anchor="fig-isolates-trends">
        <w:r w:rsidR="003E0884">
          <w:rPr>
            <w:rStyle w:val="Hyperlink"/>
          </w:rPr>
          <w:t>Figure 1</w:t>
        </w:r>
      </w:hyperlink>
      <w:r>
        <w:t xml:space="preserve"> reveals that the predicted AMR prevalence remains remarkably high (approximately 97.3%) across all categories, including environmental and animal sources.</w:t>
      </w:r>
    </w:p>
    <w:tbl>
      <w:tblPr>
        <w:tblStyle w:val="Table"/>
        <w:tblW w:w="5000" w:type="pct"/>
        <w:tblLayout w:type="fixed"/>
        <w:tblLook w:val="0000" w:firstRow="0" w:lastRow="0" w:firstColumn="0" w:lastColumn="0" w:noHBand="0" w:noVBand="0"/>
      </w:tblPr>
      <w:tblGrid>
        <w:gridCol w:w="9576"/>
      </w:tblGrid>
      <w:tr w:rsidR="003E0884" w14:paraId="01EF03F4" w14:textId="77777777">
        <w:tc>
          <w:tcPr>
            <w:tcW w:w="7920" w:type="dxa"/>
          </w:tcPr>
          <w:p w14:paraId="3AD1D107" w14:textId="77777777" w:rsidR="003E0884" w:rsidRDefault="00000000">
            <w:pPr>
              <w:pStyle w:val="Compact"/>
              <w:jc w:val="center"/>
            </w:pPr>
            <w:bookmarkStart w:id="18" w:name="fig-isolates-trends"/>
            <w:r>
              <w:rPr>
                <w:noProof/>
              </w:rPr>
              <w:lastRenderedPageBreak/>
              <w:drawing>
                <wp:inline distT="0" distB="0" distL="0" distR="0" wp14:anchorId="400595CC" wp14:editId="31507A25">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esults/figures/isolatesgraph1_pub.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E4CC35A" w14:textId="77777777" w:rsidR="003E0884" w:rsidRDefault="00000000">
            <w:pPr>
              <w:pStyle w:val="ImageCaption"/>
              <w:spacing w:before="200"/>
            </w:pPr>
            <w:r>
              <w:t>Figure 1</w:t>
            </w:r>
          </w:p>
        </w:tc>
        <w:bookmarkEnd w:id="18"/>
      </w:tr>
    </w:tbl>
    <w:p w14:paraId="49775A38" w14:textId="77777777" w:rsidR="003E0884" w:rsidRDefault="00000000">
      <w:pPr>
        <w:pStyle w:val="Heading3"/>
      </w:pPr>
      <w:bookmarkStart w:id="19" w:name="genomic-structure-analysis"/>
      <w:bookmarkEnd w:id="17"/>
      <w:r>
        <w:t>4.1.3 Genomic Structure Analysis</w:t>
      </w:r>
    </w:p>
    <w:tbl>
      <w:tblPr>
        <w:tblStyle w:val="Table"/>
        <w:tblW w:w="5000" w:type="pct"/>
        <w:tblLayout w:type="fixed"/>
        <w:tblLook w:val="0000" w:firstRow="0" w:lastRow="0" w:firstColumn="0" w:lastColumn="0" w:noHBand="0" w:noVBand="0"/>
      </w:tblPr>
      <w:tblGrid>
        <w:gridCol w:w="9576"/>
      </w:tblGrid>
      <w:tr w:rsidR="003E0884" w14:paraId="5215BF30" w14:textId="77777777" w:rsidTr="00236B07">
        <w:tc>
          <w:tcPr>
            <w:tcW w:w="9576" w:type="dxa"/>
          </w:tcPr>
          <w:p w14:paraId="624A290D" w14:textId="76FF47CF" w:rsidR="003E0884" w:rsidRDefault="00000000">
            <w:pPr>
              <w:pStyle w:val="ImageCaption"/>
              <w:spacing w:before="200"/>
            </w:pPr>
            <w:r>
              <w:t>Our Exploratory Analysis confirmed a strong correlation (</w:t>
            </w:r>
            <m:oMath>
              <m:r>
                <w:rPr>
                  <w:rFonts w:ascii="Cambria Math" w:hAnsi="Cambria Math"/>
                </w:rPr>
                <m:t>r≈0.90</m:t>
              </m:r>
            </m:oMath>
            <w:r>
              <w:t>) between genome length and protein-coding genes, while pseudogene counts appeared to be independent of these structural metrics.</w:t>
            </w:r>
            <w:bookmarkStart w:id="20" w:name="fig-genomes-source"/>
          </w:p>
        </w:tc>
        <w:bookmarkEnd w:id="20"/>
      </w:tr>
      <w:tr w:rsidR="003E0884" w14:paraId="5B7F4695" w14:textId="77777777" w:rsidTr="00236B07">
        <w:tc>
          <w:tcPr>
            <w:tcW w:w="9576" w:type="dxa"/>
          </w:tcPr>
          <w:p w14:paraId="27547F70" w14:textId="782D255D" w:rsidR="003E0884" w:rsidRDefault="00000000">
            <w:pPr>
              <w:pStyle w:val="ImageCaption"/>
              <w:spacing w:before="200"/>
            </w:pPr>
            <w:bookmarkStart w:id="21" w:name="tbl-cor-matrix"/>
            <w:r>
              <w:t>Table 2</w:t>
            </w:r>
          </w:p>
          <w:p w14:paraId="6FA9ADD9" w14:textId="79922F4A" w:rsidR="003E0884" w:rsidRDefault="00000000">
            <w:pPr>
              <w:jc w:val="center"/>
            </w:pPr>
            <w:r>
              <w:rPr>
                <w:noProof/>
              </w:rPr>
              <w:lastRenderedPageBreak/>
              <w:drawing>
                <wp:inline distT="0" distB="0" distL="0" distR="0" wp14:anchorId="0F54319B" wp14:editId="2BFFBC36">
                  <wp:extent cx="5334000" cy="3064014"/>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results/tables/cor_matrix.PNG"/>
                          <pic:cNvPicPr>
                            <a:picLocks noChangeAspect="1" noChangeArrowheads="1"/>
                          </pic:cNvPicPr>
                        </pic:nvPicPr>
                        <pic:blipFill>
                          <a:blip r:embed="rId9"/>
                          <a:stretch>
                            <a:fillRect/>
                          </a:stretch>
                        </pic:blipFill>
                        <pic:spPr bwMode="auto">
                          <a:xfrm>
                            <a:off x="0" y="0"/>
                            <a:ext cx="5334000" cy="3064014"/>
                          </a:xfrm>
                          <a:prstGeom prst="rect">
                            <a:avLst/>
                          </a:prstGeom>
                          <a:noFill/>
                          <a:ln w="9525">
                            <a:noFill/>
                            <a:headEnd/>
                            <a:tailEnd/>
                          </a:ln>
                        </pic:spPr>
                      </pic:pic>
                    </a:graphicData>
                  </a:graphic>
                </wp:inline>
              </w:drawing>
            </w:r>
          </w:p>
        </w:tc>
        <w:bookmarkEnd w:id="21"/>
      </w:tr>
    </w:tbl>
    <w:p w14:paraId="3CC39992" w14:textId="77777777" w:rsidR="003E0884" w:rsidRDefault="00000000">
      <w:pPr>
        <w:pStyle w:val="Heading2"/>
      </w:pPr>
      <w:bookmarkStart w:id="22" w:name="descriptive-analysis"/>
      <w:bookmarkEnd w:id="14"/>
      <w:bookmarkEnd w:id="19"/>
      <w:r>
        <w:lastRenderedPageBreak/>
        <w:t>4.2 Descriptive analysis</w:t>
      </w:r>
    </w:p>
    <w:p w14:paraId="36E74EE8" w14:textId="77777777" w:rsidR="003E0884" w:rsidRDefault="00000000">
      <w:pPr>
        <w:pStyle w:val="Heading3"/>
      </w:pPr>
      <w:bookmarkStart w:id="23" w:name="Xbec8d855059156364a1f5236ced77ede8280cf0"/>
      <w:r>
        <w:t>4.2.1 Patterns of AMR Class Prevalence and Co-occurrence</w:t>
      </w:r>
    </w:p>
    <w:p w14:paraId="62CADE17" w14:textId="77777777" w:rsidR="003E0884" w:rsidRDefault="003E0884">
      <w:pPr>
        <w:pStyle w:val="FirstParagraph"/>
      </w:pPr>
      <w:hyperlink r:id="rId10">
        <w:r>
          <w:rPr>
            <w:rStyle w:val="Hyperlink"/>
          </w:rPr>
          <w:t>Complete Descriptive analysis here</w:t>
        </w:r>
      </w:hyperlink>
    </w:p>
    <w:p w14:paraId="1BB700F5" w14:textId="77777777" w:rsidR="003E0884" w:rsidRDefault="00000000">
      <w:pPr>
        <w:pStyle w:val="BodyText"/>
      </w:pPr>
      <w:r>
        <w:t>A critical step in our descriptive analysis was the characterization of clinically relevant resistance classes. As noted in our Descriptive Analysis Script, multidrug efflux pumps were excluded from this specific characterization due to their ubiquitous presence (&gt;96% prevalence) across the dataset, which tends to obscure phenotypic resistance trends.</w:t>
      </w:r>
    </w:p>
    <w:p w14:paraId="56AC805C" w14:textId="77777777" w:rsidR="003E0884" w:rsidRDefault="00000000">
      <w:pPr>
        <w:pStyle w:val="Heading3"/>
      </w:pPr>
      <w:bookmarkStart w:id="24" w:name="predominant-resistance-classes"/>
      <w:bookmarkEnd w:id="23"/>
      <w:r>
        <w:t>4.2.2 Predominant Resistance Classes</w:t>
      </w:r>
    </w:p>
    <w:p w14:paraId="32C51C98" w14:textId="77777777" w:rsidR="003E0884" w:rsidRDefault="00000000">
      <w:pPr>
        <w:pStyle w:val="FirstParagraph"/>
      </w:pPr>
      <w:r>
        <w:t>Beyond efflux-mediated mechanisms, Tetracycline, Aminoglycoside, and Sulfonamide resistance emerged as the most prevalent classes (</w:t>
      </w:r>
      <w:hyperlink w:anchor="tbl-class-prev">
        <w:r w:rsidR="003E0884">
          <w:rPr>
            <w:rStyle w:val="Hyperlink"/>
          </w:rPr>
          <w:t>Table 3</w:t>
        </w:r>
      </w:hyperlink>
      <w:r>
        <w:t xml:space="preserve">). These three classes alone account for the majority of the non-intrinsic resistance detected, suggesting a stable reservoir of these genotypes within the </w:t>
      </w:r>
      <w:r>
        <w:rPr>
          <w:i/>
          <w:iCs/>
        </w:rPr>
        <w:t>Salmonella</w:t>
      </w:r>
      <w:r>
        <w:t xml:space="preserve"> population.</w:t>
      </w:r>
    </w:p>
    <w:tbl>
      <w:tblPr>
        <w:tblStyle w:val="Table"/>
        <w:tblW w:w="5000" w:type="pct"/>
        <w:tblLayout w:type="fixed"/>
        <w:tblLook w:val="0000" w:firstRow="0" w:lastRow="0" w:firstColumn="0" w:lastColumn="0" w:noHBand="0" w:noVBand="0"/>
      </w:tblPr>
      <w:tblGrid>
        <w:gridCol w:w="9576"/>
      </w:tblGrid>
      <w:tr w:rsidR="003E0884" w14:paraId="664461DC" w14:textId="77777777">
        <w:tc>
          <w:tcPr>
            <w:tcW w:w="7920" w:type="dxa"/>
          </w:tcPr>
          <w:p w14:paraId="4EE6BE85" w14:textId="77777777" w:rsidR="003E0884" w:rsidRDefault="00000000">
            <w:pPr>
              <w:pStyle w:val="ImageCaption"/>
              <w:spacing w:before="200"/>
            </w:pPr>
            <w:bookmarkStart w:id="25" w:name="tbl-class-prev"/>
            <w:r>
              <w:t>Table 3</w:t>
            </w:r>
          </w:p>
          <w:p w14:paraId="0527E337" w14:textId="77777777" w:rsidR="003E0884" w:rsidRDefault="00000000">
            <w:pPr>
              <w:jc w:val="center"/>
            </w:pPr>
            <w:r>
              <w:rPr>
                <w:noProof/>
              </w:rPr>
              <w:lastRenderedPageBreak/>
              <w:drawing>
                <wp:inline distT="0" distB="0" distL="0" distR="0" wp14:anchorId="0CE4203D" wp14:editId="26B5759D">
                  <wp:extent cx="4087905" cy="684647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results/tables/amr_class_prevalence.PNG"/>
                          <pic:cNvPicPr>
                            <a:picLocks noChangeAspect="1" noChangeArrowheads="1"/>
                          </pic:cNvPicPr>
                        </pic:nvPicPr>
                        <pic:blipFill>
                          <a:blip r:embed="rId11"/>
                          <a:stretch>
                            <a:fillRect/>
                          </a:stretch>
                        </pic:blipFill>
                        <pic:spPr bwMode="auto">
                          <a:xfrm>
                            <a:off x="0" y="0"/>
                            <a:ext cx="4087905" cy="6846473"/>
                          </a:xfrm>
                          <a:prstGeom prst="rect">
                            <a:avLst/>
                          </a:prstGeom>
                          <a:noFill/>
                          <a:ln w="9525">
                            <a:noFill/>
                            <a:headEnd/>
                            <a:tailEnd/>
                          </a:ln>
                        </pic:spPr>
                      </pic:pic>
                    </a:graphicData>
                  </a:graphic>
                </wp:inline>
              </w:drawing>
            </w:r>
          </w:p>
        </w:tc>
        <w:bookmarkEnd w:id="25"/>
      </w:tr>
    </w:tbl>
    <w:p w14:paraId="686B2D8E" w14:textId="77777777" w:rsidR="003E0884" w:rsidRDefault="00000000">
      <w:pPr>
        <w:pStyle w:val="Heading3"/>
      </w:pPr>
      <w:bookmarkStart w:id="26" w:name="multidrug-resistance-mdr-by-source"/>
      <w:bookmarkEnd w:id="24"/>
      <w:r>
        <w:lastRenderedPageBreak/>
        <w:t>4.2.3 Multidrug Resistance (MDR) by Source</w:t>
      </w:r>
    </w:p>
    <w:p w14:paraId="72BF8B5B" w14:textId="77777777" w:rsidR="003E0884" w:rsidRDefault="00000000">
      <w:pPr>
        <w:pStyle w:val="FirstParagraph"/>
      </w:pPr>
      <w:r>
        <w:t>The distribution of multidrug resistance (defined here as resistance to 3 or more classes) showed distinct patterns across isolation sources (</w:t>
      </w:r>
      <w:hyperlink w:anchor="fig-mdr">
        <w:r w:rsidR="003E0884">
          <w:rPr>
            <w:rStyle w:val="Hyperlink"/>
          </w:rPr>
          <w:t>Figure 3</w:t>
        </w:r>
      </w:hyperlink>
      <w:r>
        <w:t xml:space="preserve">). While the raw volume of isolates is highest in human clinical samples, a higher proportion of MDR isolates was observed in animal and food-related sources. This suggests that while human surveillance </w:t>
      </w:r>
      <w:r>
        <w:lastRenderedPageBreak/>
        <w:t>captures more total resistance, the complexity of resistance profiles may be more pronounced in agricultural and production environments.</w:t>
      </w:r>
    </w:p>
    <w:tbl>
      <w:tblPr>
        <w:tblStyle w:val="Table"/>
        <w:tblW w:w="5000" w:type="pct"/>
        <w:tblLayout w:type="fixed"/>
        <w:tblLook w:val="0000" w:firstRow="0" w:lastRow="0" w:firstColumn="0" w:lastColumn="0" w:noHBand="0" w:noVBand="0"/>
      </w:tblPr>
      <w:tblGrid>
        <w:gridCol w:w="9576"/>
      </w:tblGrid>
      <w:tr w:rsidR="003E0884" w14:paraId="18C5958F" w14:textId="77777777">
        <w:tc>
          <w:tcPr>
            <w:tcW w:w="7920" w:type="dxa"/>
          </w:tcPr>
          <w:p w14:paraId="39521C0B" w14:textId="77777777" w:rsidR="003E0884" w:rsidRDefault="00000000">
            <w:pPr>
              <w:pStyle w:val="Compact"/>
              <w:jc w:val="center"/>
            </w:pPr>
            <w:bookmarkStart w:id="27" w:name="fig-mdr"/>
            <w:r>
              <w:rPr>
                <w:noProof/>
              </w:rPr>
              <w:drawing>
                <wp:inline distT="0" distB="0" distL="0" distR="0" wp14:anchorId="1A6DDD62" wp14:editId="03D2A7CF">
                  <wp:extent cx="5334000" cy="4000499"/>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results/figures/amr_mdr_distribution.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1E0AA0C0" w14:textId="77777777" w:rsidR="003E0884" w:rsidRDefault="00000000">
            <w:pPr>
              <w:pStyle w:val="ImageCaption"/>
              <w:spacing w:before="200"/>
            </w:pPr>
            <w:r>
              <w:t>Figure 3</w:t>
            </w:r>
          </w:p>
        </w:tc>
        <w:bookmarkEnd w:id="27"/>
      </w:tr>
    </w:tbl>
    <w:p w14:paraId="6F073E14" w14:textId="77777777" w:rsidR="003E0884" w:rsidRDefault="00000000">
      <w:pPr>
        <w:pStyle w:val="Heading3"/>
      </w:pPr>
      <w:bookmarkStart w:id="28" w:name="genomic-co-occurrence-and-correlation"/>
      <w:bookmarkEnd w:id="26"/>
      <w:r>
        <w:t>4.2.4 Genomic Co-occurrence and Correlation</w:t>
      </w:r>
    </w:p>
    <w:p w14:paraId="03E568C6" w14:textId="77777777" w:rsidR="003E0884" w:rsidRDefault="00000000">
      <w:pPr>
        <w:pStyle w:val="FirstParagraph"/>
      </w:pPr>
      <w:r>
        <w:t>To understand the underlying structure of these resistance profiles, we calculated the co-occurrence of AMR classes using Pearson correlation (</w:t>
      </w:r>
      <w:hyperlink w:anchor="fig-heatmap">
        <w:r w:rsidR="003E0884">
          <w:rPr>
            <w:rStyle w:val="Hyperlink"/>
          </w:rPr>
          <w:t>Figure 4</w:t>
        </w:r>
      </w:hyperlink>
      <w:r>
        <w:t xml:space="preserve">). Our results highlight a strong positive correlation between Tetracyclines, Aminoglycosides, and Sulfonamides, likely indicating the presence of linked resistance genes on shared mobile genetic elements (MGEs). Conversely, Quinolone and Fosfomycin resistance showed a negative correlation with most other classes, suggesting that these genotypes may emerge in distinct sub-populations of </w:t>
      </w:r>
      <w:r>
        <w:rPr>
          <w:i/>
          <w:iCs/>
        </w:rPr>
        <w:t>Salmonella</w:t>
      </w:r>
      <w:r>
        <w:t>.</w:t>
      </w:r>
    </w:p>
    <w:tbl>
      <w:tblPr>
        <w:tblStyle w:val="Table"/>
        <w:tblW w:w="5000" w:type="pct"/>
        <w:tblLayout w:type="fixed"/>
        <w:tblLook w:val="0000" w:firstRow="0" w:lastRow="0" w:firstColumn="0" w:lastColumn="0" w:noHBand="0" w:noVBand="0"/>
      </w:tblPr>
      <w:tblGrid>
        <w:gridCol w:w="9576"/>
      </w:tblGrid>
      <w:tr w:rsidR="003E0884" w14:paraId="6CAA9948" w14:textId="77777777">
        <w:tc>
          <w:tcPr>
            <w:tcW w:w="7920" w:type="dxa"/>
          </w:tcPr>
          <w:p w14:paraId="12F12FCD" w14:textId="77777777" w:rsidR="003E0884" w:rsidRDefault="00000000">
            <w:pPr>
              <w:pStyle w:val="Compact"/>
              <w:jc w:val="center"/>
            </w:pPr>
            <w:bookmarkStart w:id="29" w:name="fig-heatmap"/>
            <w:r>
              <w:rPr>
                <w:noProof/>
              </w:rPr>
              <w:lastRenderedPageBreak/>
              <w:drawing>
                <wp:inline distT="0" distB="0" distL="0" distR="0" wp14:anchorId="437C744F" wp14:editId="1886D8D0">
                  <wp:extent cx="5334000" cy="4148666"/>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results/figures/amr_correlation_heatmap.png"/>
                          <pic:cNvPicPr>
                            <a:picLocks noChangeAspect="1" noChangeArrowheads="1"/>
                          </pic:cNvPicPr>
                        </pic:nvPicPr>
                        <pic:blipFill>
                          <a:blip r:embed="rId13"/>
                          <a:stretch>
                            <a:fillRect/>
                          </a:stretch>
                        </pic:blipFill>
                        <pic:spPr bwMode="auto">
                          <a:xfrm>
                            <a:off x="0" y="0"/>
                            <a:ext cx="5334000" cy="4148666"/>
                          </a:xfrm>
                          <a:prstGeom prst="rect">
                            <a:avLst/>
                          </a:prstGeom>
                          <a:noFill/>
                          <a:ln w="9525">
                            <a:noFill/>
                            <a:headEnd/>
                            <a:tailEnd/>
                          </a:ln>
                        </pic:spPr>
                      </pic:pic>
                    </a:graphicData>
                  </a:graphic>
                </wp:inline>
              </w:drawing>
            </w:r>
          </w:p>
          <w:p w14:paraId="49C383F8" w14:textId="77777777" w:rsidR="003E0884" w:rsidRDefault="00000000">
            <w:pPr>
              <w:pStyle w:val="ImageCaption"/>
              <w:spacing w:before="200"/>
            </w:pPr>
            <w:r>
              <w:t>Figure 4</w:t>
            </w:r>
          </w:p>
        </w:tc>
        <w:bookmarkEnd w:id="29"/>
      </w:tr>
    </w:tbl>
    <w:p w14:paraId="67C75757" w14:textId="77777777" w:rsidR="003E0884" w:rsidRDefault="00000000">
      <w:pPr>
        <w:pStyle w:val="Heading2"/>
      </w:pPr>
      <w:bookmarkStart w:id="30" w:name="full-analysis"/>
      <w:bookmarkEnd w:id="22"/>
      <w:bookmarkEnd w:id="28"/>
      <w:r>
        <w:t>4.3 Full analysis</w:t>
      </w:r>
    </w:p>
    <w:p w14:paraId="656E8BEE" w14:textId="77777777" w:rsidR="003E0884" w:rsidRDefault="00000000">
      <w:pPr>
        <w:pStyle w:val="Heading3"/>
      </w:pPr>
      <w:bookmarkStart w:id="31" w:name="random-forest-to-determine-amr"/>
      <w:r>
        <w:t>4.3.1 Random Forest to determine AMR</w:t>
      </w:r>
    </w:p>
    <w:p w14:paraId="5CFB15CE" w14:textId="77777777" w:rsidR="003E0884" w:rsidRDefault="003E0884">
      <w:pPr>
        <w:pStyle w:val="FirstParagraph"/>
      </w:pPr>
      <w:hyperlink r:id="rId14">
        <w:r>
          <w:rPr>
            <w:rStyle w:val="Hyperlink"/>
          </w:rPr>
          <w:t>Complete Random Forest analysis here</w:t>
        </w:r>
      </w:hyperlink>
    </w:p>
    <w:p w14:paraId="278072B4" w14:textId="77777777" w:rsidR="003E0884" w:rsidRDefault="00000000">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rare phenotypes.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establishing a high threshold for “false alarms” that is </w:t>
      </w:r>
      <w:r>
        <w:lastRenderedPageBreak/>
        <w:t>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w="5000" w:type="pct"/>
        <w:tblLayout w:type="fixed"/>
        <w:tblLook w:val="0000" w:firstRow="0" w:lastRow="0" w:firstColumn="0" w:lastColumn="0" w:noHBand="0" w:noVBand="0"/>
      </w:tblPr>
      <w:tblGrid>
        <w:gridCol w:w="9576"/>
      </w:tblGrid>
      <w:tr w:rsidR="003E0884" w14:paraId="34E5C7B4" w14:textId="77777777">
        <w:tc>
          <w:tcPr>
            <w:tcW w:w="7920" w:type="dxa"/>
          </w:tcPr>
          <w:p w14:paraId="05BD2854" w14:textId="77777777" w:rsidR="003E0884" w:rsidRDefault="00000000">
            <w:pPr>
              <w:pStyle w:val="ImageCaption"/>
              <w:spacing w:before="200"/>
            </w:pPr>
            <w:bookmarkStart w:id="32" w:name="tbl-model-performance"/>
            <w:r>
              <w:t>Table 4</w:t>
            </w:r>
          </w:p>
          <w:p w14:paraId="44C0D630" w14:textId="77777777" w:rsidR="003E0884" w:rsidRDefault="00000000">
            <w:pPr>
              <w:jc w:val="center"/>
            </w:pPr>
            <w:r>
              <w:rPr>
                <w:noProof/>
              </w:rPr>
              <w:drawing>
                <wp:inline distT="0" distB="0" distL="0" distR="0" wp14:anchorId="08385C70" wp14:editId="753EE2FE">
                  <wp:extent cx="5334000" cy="3448493"/>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results/tables/amr_model_performance.PNG"/>
                          <pic:cNvPicPr>
                            <a:picLocks noChangeAspect="1" noChangeArrowheads="1"/>
                          </pic:cNvPicPr>
                        </pic:nvPicPr>
                        <pic:blipFill>
                          <a:blip r:embed="rId15"/>
                          <a:stretch>
                            <a:fillRect/>
                          </a:stretch>
                        </pic:blipFill>
                        <pic:spPr bwMode="auto">
                          <a:xfrm>
                            <a:off x="0" y="0"/>
                            <a:ext cx="5334000" cy="3448493"/>
                          </a:xfrm>
                          <a:prstGeom prst="rect">
                            <a:avLst/>
                          </a:prstGeom>
                          <a:noFill/>
                          <a:ln w="9525">
                            <a:noFill/>
                            <a:headEnd/>
                            <a:tailEnd/>
                          </a:ln>
                        </pic:spPr>
                      </pic:pic>
                    </a:graphicData>
                  </a:graphic>
                </wp:inline>
              </w:drawing>
            </w:r>
          </w:p>
        </w:tc>
        <w:bookmarkEnd w:id="32"/>
      </w:tr>
    </w:tbl>
    <w:p w14:paraId="6E2B1D2E" w14:textId="4DD6300C" w:rsidR="003E0884" w:rsidRDefault="00000000">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w:t>
      </w:r>
      <w:r w:rsidR="00AB4ADF">
        <w:t>this</w:t>
      </w:r>
      <w:r>
        <w:t xml:space="preserve"> dataset.</w:t>
      </w:r>
    </w:p>
    <w:tbl>
      <w:tblPr>
        <w:tblStyle w:val="Table"/>
        <w:tblW w:w="5000" w:type="pct"/>
        <w:tblLayout w:type="fixed"/>
        <w:tblLook w:val="0000" w:firstRow="0" w:lastRow="0" w:firstColumn="0" w:lastColumn="0" w:noHBand="0" w:noVBand="0"/>
      </w:tblPr>
      <w:tblGrid>
        <w:gridCol w:w="9576"/>
      </w:tblGrid>
      <w:tr w:rsidR="003E0884" w14:paraId="2D1787EA" w14:textId="77777777">
        <w:tc>
          <w:tcPr>
            <w:tcW w:w="7920" w:type="dxa"/>
          </w:tcPr>
          <w:p w14:paraId="070B50EB" w14:textId="77777777" w:rsidR="003E0884" w:rsidRDefault="00000000">
            <w:pPr>
              <w:pStyle w:val="Compact"/>
              <w:jc w:val="center"/>
            </w:pPr>
            <w:bookmarkStart w:id="33" w:name="fig-amr_vip"/>
            <w:r>
              <w:rPr>
                <w:noProof/>
              </w:rPr>
              <w:lastRenderedPageBreak/>
              <w:drawing>
                <wp:inline distT="0" distB="0" distL="0" distR="0" wp14:anchorId="08970DDB" wp14:editId="25FB4D79">
                  <wp:extent cx="5334000" cy="3048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results/figures/amr_vip_publication.png"/>
                          <pic:cNvPicPr>
                            <a:picLocks noChangeAspect="1" noChangeArrowheads="1"/>
                          </pic:cNvPicPr>
                        </pic:nvPicPr>
                        <pic:blipFill>
                          <a:blip r:embed="rId16"/>
                          <a:stretch>
                            <a:fillRect/>
                          </a:stretch>
                        </pic:blipFill>
                        <pic:spPr bwMode="auto">
                          <a:xfrm>
                            <a:off x="0" y="0"/>
                            <a:ext cx="5334000" cy="3048000"/>
                          </a:xfrm>
                          <a:prstGeom prst="rect">
                            <a:avLst/>
                          </a:prstGeom>
                          <a:noFill/>
                          <a:ln w="9525">
                            <a:noFill/>
                            <a:headEnd/>
                            <a:tailEnd/>
                          </a:ln>
                        </pic:spPr>
                      </pic:pic>
                    </a:graphicData>
                  </a:graphic>
                </wp:inline>
              </w:drawing>
            </w:r>
          </w:p>
          <w:p w14:paraId="582C0DBA" w14:textId="77777777" w:rsidR="003E0884" w:rsidRDefault="00000000">
            <w:pPr>
              <w:pStyle w:val="ImageCaption"/>
              <w:spacing w:before="200"/>
            </w:pPr>
            <w:r>
              <w:t>Figure 5</w:t>
            </w:r>
          </w:p>
        </w:tc>
        <w:bookmarkEnd w:id="33"/>
      </w:tr>
    </w:tbl>
    <w:p w14:paraId="7AC5F2B2" w14:textId="77777777" w:rsidR="003E0884" w:rsidRDefault="00000000">
      <w:pPr>
        <w:pStyle w:val="BodyText"/>
      </w:pPr>
      <w:r>
        <w:t>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w="5000" w:type="pct"/>
        <w:tblLayout w:type="fixed"/>
        <w:tblLook w:val="0000" w:firstRow="0" w:lastRow="0" w:firstColumn="0" w:lastColumn="0" w:noHBand="0" w:noVBand="0"/>
      </w:tblPr>
      <w:tblGrid>
        <w:gridCol w:w="9576"/>
      </w:tblGrid>
      <w:tr w:rsidR="003E0884" w14:paraId="27726853" w14:textId="77777777">
        <w:tc>
          <w:tcPr>
            <w:tcW w:w="7920" w:type="dxa"/>
          </w:tcPr>
          <w:p w14:paraId="16FC9CF0" w14:textId="77777777" w:rsidR="003E0884" w:rsidRDefault="00000000">
            <w:pPr>
              <w:pStyle w:val="Compact"/>
              <w:jc w:val="center"/>
            </w:pPr>
            <w:bookmarkStart w:id="34" w:name="fig-amr_roc"/>
            <w:r>
              <w:rPr>
                <w:noProof/>
              </w:rPr>
              <w:lastRenderedPageBreak/>
              <w:drawing>
                <wp:inline distT="0" distB="0" distL="0" distR="0" wp14:anchorId="34D7D64D" wp14:editId="57451C6A">
                  <wp:extent cx="5334000" cy="533400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results/figures/amr_roc_publication.png"/>
                          <pic:cNvPicPr>
                            <a:picLocks noChangeAspect="1" noChangeArrowheads="1"/>
                          </pic:cNvPicPr>
                        </pic:nvPicPr>
                        <pic:blipFill>
                          <a:blip r:embed="rId17"/>
                          <a:stretch>
                            <a:fillRect/>
                          </a:stretch>
                        </pic:blipFill>
                        <pic:spPr bwMode="auto">
                          <a:xfrm>
                            <a:off x="0" y="0"/>
                            <a:ext cx="5334000" cy="5334000"/>
                          </a:xfrm>
                          <a:prstGeom prst="rect">
                            <a:avLst/>
                          </a:prstGeom>
                          <a:noFill/>
                          <a:ln w="9525">
                            <a:noFill/>
                            <a:headEnd/>
                            <a:tailEnd/>
                          </a:ln>
                        </pic:spPr>
                      </pic:pic>
                    </a:graphicData>
                  </a:graphic>
                </wp:inline>
              </w:drawing>
            </w:r>
          </w:p>
          <w:p w14:paraId="741D69D8" w14:textId="77777777" w:rsidR="003E0884" w:rsidRDefault="00000000">
            <w:pPr>
              <w:pStyle w:val="ImageCaption"/>
              <w:spacing w:before="200"/>
            </w:pPr>
            <w:r>
              <w:t>Figure 6</w:t>
            </w:r>
          </w:p>
        </w:tc>
        <w:bookmarkEnd w:id="34"/>
      </w:tr>
    </w:tbl>
    <w:p w14:paraId="6B18FE82" w14:textId="77777777" w:rsidR="003E0884" w:rsidRDefault="00000000">
      <w:pPr>
        <w:pStyle w:val="BodyText"/>
      </w:pPr>
      <w:r>
        <w:t>This plot visualizes the distribution of predicted probabilities for both resistant and susceptible classes. The high density of susceptible isolates at very low probability scores explains the model’s exceptional Specificity, while the overlapping region near the center highlights the difficulty in achieving high sensitivity using metadata alone.</w:t>
      </w:r>
    </w:p>
    <w:tbl>
      <w:tblPr>
        <w:tblStyle w:val="Table"/>
        <w:tblW w:w="5000" w:type="pct"/>
        <w:tblLayout w:type="fixed"/>
        <w:tblLook w:val="0000" w:firstRow="0" w:lastRow="0" w:firstColumn="0" w:lastColumn="0" w:noHBand="0" w:noVBand="0"/>
      </w:tblPr>
      <w:tblGrid>
        <w:gridCol w:w="9576"/>
      </w:tblGrid>
      <w:tr w:rsidR="003E0884" w14:paraId="66975095" w14:textId="77777777">
        <w:tc>
          <w:tcPr>
            <w:tcW w:w="7920" w:type="dxa"/>
          </w:tcPr>
          <w:p w14:paraId="38E8B092" w14:textId="77777777" w:rsidR="003E0884" w:rsidRDefault="00000000">
            <w:pPr>
              <w:pStyle w:val="Compact"/>
              <w:jc w:val="center"/>
            </w:pPr>
            <w:bookmarkStart w:id="35" w:name="fig-amr_density"/>
            <w:r>
              <w:rPr>
                <w:noProof/>
              </w:rPr>
              <w:lastRenderedPageBreak/>
              <w:drawing>
                <wp:inline distT="0" distB="0" distL="0" distR="0" wp14:anchorId="1160038D" wp14:editId="2B74E10F">
                  <wp:extent cx="5334000" cy="381000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results/figures/amr_density_publication.png"/>
                          <pic:cNvPicPr>
                            <a:picLocks noChangeAspect="1" noChangeArrowheads="1"/>
                          </pic:cNvPicPr>
                        </pic:nvPicPr>
                        <pic:blipFill>
                          <a:blip r:embed="rId18"/>
                          <a:stretch>
                            <a:fillRect/>
                          </a:stretch>
                        </pic:blipFill>
                        <pic:spPr bwMode="auto">
                          <a:xfrm>
                            <a:off x="0" y="0"/>
                            <a:ext cx="5334000" cy="3810000"/>
                          </a:xfrm>
                          <a:prstGeom prst="rect">
                            <a:avLst/>
                          </a:prstGeom>
                          <a:noFill/>
                          <a:ln w="9525">
                            <a:noFill/>
                            <a:headEnd/>
                            <a:tailEnd/>
                          </a:ln>
                        </pic:spPr>
                      </pic:pic>
                    </a:graphicData>
                  </a:graphic>
                </wp:inline>
              </w:drawing>
            </w:r>
          </w:p>
          <w:p w14:paraId="51CAA7E1" w14:textId="77777777" w:rsidR="003E0884" w:rsidRDefault="00000000">
            <w:pPr>
              <w:pStyle w:val="ImageCaption"/>
              <w:spacing w:before="200"/>
            </w:pPr>
            <w:r>
              <w:t>Figure 7</w:t>
            </w:r>
          </w:p>
        </w:tc>
        <w:bookmarkEnd w:id="35"/>
      </w:tr>
    </w:tbl>
    <w:p w14:paraId="55FB48E8" w14:textId="77777777" w:rsidR="003E0884" w:rsidRDefault="00000000">
      <w:pPr>
        <w:pStyle w:val="Heading3"/>
      </w:pPr>
      <w:bookmarkStart w:id="36" w:name="quality-control"/>
      <w:bookmarkEnd w:id="31"/>
      <w:r>
        <w:t>4.3.2 Quality Control</w:t>
      </w:r>
    </w:p>
    <w:p w14:paraId="2428D1E3" w14:textId="77777777" w:rsidR="003E0884" w:rsidRDefault="003E0884">
      <w:pPr>
        <w:pStyle w:val="FirstParagraph"/>
      </w:pPr>
      <w:hyperlink r:id="rId19">
        <w:r>
          <w:rPr>
            <w:rStyle w:val="Hyperlink"/>
          </w:rPr>
          <w:t>Complete Random Forest analysis here</w:t>
        </w:r>
      </w:hyperlink>
    </w:p>
    <w:p w14:paraId="4D08B0A1" w14:textId="77777777" w:rsidR="003E0884" w:rsidRDefault="00000000">
      <w:pPr>
        <w:pStyle w:val="BodyText"/>
      </w:pPr>
      <w:r>
        <w:t>The Random Forest model demonstrated high stability, with 10-fold cross-validation yielding a mean ROC AUC of 0.829 (</w:t>
      </w:r>
      <m:oMath>
        <m:r>
          <m:rPr>
            <m:sty m:val="p"/>
          </m:rPr>
          <w:rPr>
            <w:rFonts w:ascii="Cambria Math" w:hAnsi="Cambria Math"/>
          </w:rPr>
          <m:t>±</m:t>
        </m:r>
        <m:r>
          <w:rPr>
            <w:rFonts w:ascii="Cambria Math" w:hAnsi="Cambria Math"/>
          </w:rPr>
          <m:t>0.001</m:t>
        </m:r>
      </m:oMath>
      <w:r>
        <w:t xml:space="preserve"> SE). During the honest assessment phase, the model maintained this performance on unseen test data, achieving a final ROC AUC of 0.825 and a sensitivity of 0.352 (</w:t>
      </w:r>
      <w:hyperlink w:anchor="tbl-model-validation">
        <w:r w:rsidR="003E0884">
          <w:rPr>
            <w:rStyle w:val="Hyperlink"/>
          </w:rPr>
          <w:t>Table 5</w:t>
        </w:r>
      </w:hyperlink>
      <w:r>
        <w:t>). The confusion matrix (</w:t>
      </w:r>
      <w:hyperlink w:anchor="tbl-conf-matrix">
        <w:r w:rsidR="003E0884">
          <w:rPr>
            <w:rStyle w:val="Hyperlink"/>
          </w:rPr>
          <w:t>Table 6</w:t>
        </w:r>
      </w:hyperlink>
      <w:r>
        <w:t>) illustrates the model’s conservative classification strategy; while it correctly identified over 50,000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w="5000" w:type="pct"/>
        <w:tblLayout w:type="fixed"/>
        <w:tblLook w:val="0000" w:firstRow="0" w:lastRow="0" w:firstColumn="0" w:lastColumn="0" w:noHBand="0" w:noVBand="0"/>
      </w:tblPr>
      <w:tblGrid>
        <w:gridCol w:w="9576"/>
      </w:tblGrid>
      <w:tr w:rsidR="003E0884" w14:paraId="59589BF0" w14:textId="77777777">
        <w:tc>
          <w:tcPr>
            <w:tcW w:w="7920" w:type="dxa"/>
          </w:tcPr>
          <w:p w14:paraId="616CEF0C" w14:textId="77777777" w:rsidR="003E0884" w:rsidRDefault="00000000">
            <w:pPr>
              <w:pStyle w:val="ImageCaption"/>
              <w:spacing w:before="200"/>
            </w:pPr>
            <w:bookmarkStart w:id="37" w:name="tbl-model-validation"/>
            <w:r>
              <w:t>Table 5</w:t>
            </w:r>
          </w:p>
          <w:p w14:paraId="2B1B820B" w14:textId="77777777" w:rsidR="003E0884" w:rsidRDefault="00000000">
            <w:pPr>
              <w:jc w:val="center"/>
            </w:pPr>
            <w:r>
              <w:rPr>
                <w:noProof/>
              </w:rPr>
              <w:lastRenderedPageBreak/>
              <w:drawing>
                <wp:inline distT="0" distB="0" distL="0" distR="0" wp14:anchorId="3DEAD610" wp14:editId="752306F1">
                  <wp:extent cx="5334000" cy="174663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results/tables/validation_results.PNG"/>
                          <pic:cNvPicPr>
                            <a:picLocks noChangeAspect="1" noChangeArrowheads="1"/>
                          </pic:cNvPicPr>
                        </pic:nvPicPr>
                        <pic:blipFill>
                          <a:blip r:embed="rId20"/>
                          <a:stretch>
                            <a:fillRect/>
                          </a:stretch>
                        </pic:blipFill>
                        <pic:spPr bwMode="auto">
                          <a:xfrm>
                            <a:off x="0" y="0"/>
                            <a:ext cx="5334000" cy="1746630"/>
                          </a:xfrm>
                          <a:prstGeom prst="rect">
                            <a:avLst/>
                          </a:prstGeom>
                          <a:noFill/>
                          <a:ln w="9525">
                            <a:noFill/>
                            <a:headEnd/>
                            <a:tailEnd/>
                          </a:ln>
                        </pic:spPr>
                      </pic:pic>
                    </a:graphicData>
                  </a:graphic>
                </wp:inline>
              </w:drawing>
            </w:r>
          </w:p>
        </w:tc>
        <w:bookmarkEnd w:id="37"/>
      </w:tr>
      <w:tr w:rsidR="003E0884" w14:paraId="75890BE0" w14:textId="77777777">
        <w:tc>
          <w:tcPr>
            <w:tcW w:w="7920" w:type="dxa"/>
          </w:tcPr>
          <w:p w14:paraId="37632C04" w14:textId="77777777" w:rsidR="003E0884" w:rsidRDefault="00000000">
            <w:pPr>
              <w:pStyle w:val="ImageCaption"/>
              <w:spacing w:before="200"/>
            </w:pPr>
            <w:bookmarkStart w:id="38" w:name="tbl-conf-matrix"/>
            <w:r>
              <w:lastRenderedPageBreak/>
              <w:t>Table 6</w:t>
            </w:r>
          </w:p>
          <w:p w14:paraId="729C6985" w14:textId="77777777" w:rsidR="003E0884" w:rsidRDefault="00000000">
            <w:pPr>
              <w:jc w:val="center"/>
            </w:pPr>
            <w:r>
              <w:rPr>
                <w:noProof/>
              </w:rPr>
              <w:drawing>
                <wp:inline distT="0" distB="0" distL="0" distR="0" wp14:anchorId="5BCE314D" wp14:editId="10464A97">
                  <wp:extent cx="5334000" cy="260027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results/tables/conf_matrix.PNG"/>
                          <pic:cNvPicPr>
                            <a:picLocks noChangeAspect="1" noChangeArrowheads="1"/>
                          </pic:cNvPicPr>
                        </pic:nvPicPr>
                        <pic:blipFill>
                          <a:blip r:embed="rId21"/>
                          <a:stretch>
                            <a:fillRect/>
                          </a:stretch>
                        </pic:blipFill>
                        <pic:spPr bwMode="auto">
                          <a:xfrm>
                            <a:off x="0" y="0"/>
                            <a:ext cx="5334000" cy="2600274"/>
                          </a:xfrm>
                          <a:prstGeom prst="rect">
                            <a:avLst/>
                          </a:prstGeom>
                          <a:noFill/>
                          <a:ln w="9525">
                            <a:noFill/>
                            <a:headEnd/>
                            <a:tailEnd/>
                          </a:ln>
                        </pic:spPr>
                      </pic:pic>
                    </a:graphicData>
                  </a:graphic>
                </wp:inline>
              </w:drawing>
            </w:r>
          </w:p>
        </w:tc>
        <w:bookmarkEnd w:id="38"/>
      </w:tr>
    </w:tbl>
    <w:p w14:paraId="25997442" w14:textId="77777777" w:rsidR="003E0884" w:rsidRDefault="00000000">
      <w:pPr>
        <w:pStyle w:val="Heading1"/>
      </w:pPr>
      <w:bookmarkStart w:id="39" w:name="discussion"/>
      <w:bookmarkEnd w:id="13"/>
      <w:bookmarkEnd w:id="30"/>
      <w:bookmarkEnd w:id="36"/>
      <w:r>
        <w:t>5. Discussion</w:t>
      </w:r>
    </w:p>
    <w:p w14:paraId="0B0DC067" w14:textId="77777777" w:rsidR="003E0884" w:rsidRDefault="00000000">
      <w:pPr>
        <w:pStyle w:val="Heading2"/>
      </w:pPr>
      <w:bookmarkStart w:id="40" w:name="summary-and-interpretation"/>
      <w:r>
        <w:t>5.1 Summary and Interpretation</w:t>
      </w:r>
    </w:p>
    <w:p w14:paraId="299ADA47" w14:textId="77777777" w:rsidR="003E0884" w:rsidRDefault="00000000">
      <w:pPr>
        <w:pStyle w:val="FirstParagraph"/>
      </w:pPr>
      <w:r>
        <w:t>In this study, we developed and evaluated a metadata-driven machine learning framework to predict antimicrobial resistance (AMR) in Salmonella enterica using a large-scale dataset derived from the NCBI Pathogen Detection repository. Specifically, we implemented a random forest classifier using routinely available epidemiological metadata (i.e. isolation source, serovar, and temporal variables) to predict whether an isolate exhibited resistance to at least one antimicrobial class.</w:t>
      </w:r>
    </w:p>
    <w:p w14:paraId="34B4ABBD" w14:textId="77777777" w:rsidR="003E0884" w:rsidRDefault="00000000">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w:t>
      </w:r>
      <w:r>
        <w:lastRenderedPageBreak/>
        <w:t>model is conservative in assigning resistance labels. From a public health standpoint, this behavior implies that while the model may miss a proportion of resistant isolates, the predictions it does make are highly reliable and have low false-positive rates.</w:t>
      </w:r>
    </w:p>
    <w:p w14:paraId="122D3240" w14:textId="77777777" w:rsidR="003E0884" w:rsidRDefault="00000000">
      <w:pPr>
        <w:pStyle w:val="BodyText"/>
      </w:pPr>
      <w:r>
        <w:t>Variable importance analyses revealed that serovar and isolation source were the dominant predictors of AMR status. This finding is consistent with prior epidemiological and genomic studies showing that resistance traits are not randomly distributed but instead cluster within specific lineages and ecological niches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14:paraId="6AED8AC1" w14:textId="77777777" w:rsidR="003E0884" w:rsidRDefault="00000000">
      <w:pPr>
        <w:pStyle w:val="BodyText"/>
      </w:pPr>
      <w:r>
        <w:t>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or triage tool, prioritizing isolates for further genomic characterization and informing targeted interventions (Aslam et al., 2018).</w:t>
      </w:r>
    </w:p>
    <w:p w14:paraId="35F0EF39" w14:textId="77777777" w:rsidR="003E0884" w:rsidRDefault="00000000">
      <w:pPr>
        <w:pStyle w:val="Heading2"/>
      </w:pPr>
      <w:bookmarkStart w:id="41" w:name="strengths-and-limitations"/>
      <w:bookmarkEnd w:id="40"/>
      <w:r>
        <w:t>5.2 Strengths and Limitations</w:t>
      </w:r>
    </w:p>
    <w:p w14:paraId="771620C4" w14:textId="77777777" w:rsidR="003E0884" w:rsidRDefault="00000000">
      <w:pPr>
        <w:pStyle w:val="FirstParagraph"/>
      </w:pPr>
      <w:r>
        <w:t>A major strength of this analysis is the scale and diversity of the dataset, encompassing over 600,000 Salmonella isolates collected across multiple sources, time periods, and geographic locations.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14:paraId="26F3EED9" w14:textId="77777777" w:rsidR="003E0884" w:rsidRDefault="00000000">
      <w:pPr>
        <w:pStyle w:val="BodyText"/>
      </w:pPr>
      <w:r>
        <w:t>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14:paraId="771EC72E" w14:textId="77777777" w:rsidR="003E0884" w:rsidRDefault="00000000">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w:t>
      </w:r>
      <w:r>
        <w:lastRenderedPageBreak/>
        <w:t>moderate sensitivity observed and highlights the trade-off between scalability and biological resolution.</w:t>
      </w:r>
    </w:p>
    <w:p w14:paraId="72CC336F" w14:textId="77777777" w:rsidR="003E0884" w:rsidRDefault="00000000">
      <w:pPr>
        <w:pStyle w:val="BodyText"/>
      </w:pPr>
      <w:r>
        <w:t>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14:paraId="1EDE0FC1" w14:textId="77777777" w:rsidR="003E0884" w:rsidRDefault="00000000">
      <w:pPr>
        <w:pStyle w:val="BodyText"/>
      </w:pPr>
      <w:r>
        <w:t>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 “isolation source” may be inconsistently reported or lack granularity, introducing noise into the predictors.</w:t>
      </w:r>
    </w:p>
    <w:p w14:paraId="480F1E47" w14:textId="77777777" w:rsidR="003E0884" w:rsidRDefault="00000000">
      <w:pPr>
        <w:pStyle w:val="BodyText"/>
      </w:pPr>
      <w:r>
        <w:t>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p w14:paraId="0709685B" w14:textId="77777777" w:rsidR="003E0884" w:rsidRDefault="00000000">
      <w:pPr>
        <w:pStyle w:val="Heading2"/>
      </w:pPr>
      <w:bookmarkStart w:id="42" w:name="conclusions"/>
      <w:bookmarkEnd w:id="41"/>
      <w:r>
        <w:t>5.3 Conclusions</w:t>
      </w:r>
    </w:p>
    <w:p w14:paraId="0EF52761" w14:textId="77777777" w:rsidR="003E0884" w:rsidRDefault="00000000">
      <w:pPr>
        <w:pStyle w:val="FirstParagraph"/>
      </w:pPr>
      <w:r>
        <w:t>This study demonstrates that routinely collected metadata can be effectively leveraged to predict antimicrobial resistance in Salmonella 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screening or triage tool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14:paraId="6DF4702E" w14:textId="77777777" w:rsidR="003E0884" w:rsidRDefault="00000000">
      <w:r>
        <w:br w:type="page"/>
      </w:r>
    </w:p>
    <w:p w14:paraId="55807A8A" w14:textId="77777777" w:rsidR="003E0884" w:rsidRDefault="00000000">
      <w:pPr>
        <w:pStyle w:val="Heading1"/>
      </w:pPr>
      <w:bookmarkStart w:id="43" w:name="references"/>
      <w:bookmarkEnd w:id="39"/>
      <w:bookmarkEnd w:id="42"/>
      <w:r>
        <w:lastRenderedPageBreak/>
        <w:t>6. References</w:t>
      </w:r>
    </w:p>
    <w:p w14:paraId="3CE9D447" w14:textId="77777777" w:rsidR="003E0884" w:rsidRDefault="00000000">
      <w:pPr>
        <w:pStyle w:val="FirstParagraph"/>
      </w:pPr>
      <w:r>
        <w:t>Aslam, B., Wang, W., Arshad, M. I., Khurshid, M., Muzammil, S., Rasool, M. H., Nisar, M. A., Alvi, R. F., Aslam, M. A., Qamar, M. U., Salamat, M. K. F., &amp; Baloch, Z. (2018). Antibiotic resistance: a rundown of a global crisis. Infection and Drug Resistance, 11, 1645–1658. https://doi.org/10.2147/IDR.S173867</w:t>
      </w:r>
    </w:p>
    <w:p w14:paraId="718180F4" w14:textId="77777777" w:rsidR="003E0884" w:rsidRDefault="00000000">
      <w:pPr>
        <w:pStyle w:val="BodyText"/>
      </w:pPr>
      <w:r>
        <w:t>Centers for Disease Control and Prevention. (2024). Clinical overview of Salmonellosis. https://www.cdc.gov/salmonella/hcp/clinical-overview/index.html</w:t>
      </w:r>
    </w:p>
    <w:p w14:paraId="103D16B1" w14:textId="77777777" w:rsidR="003E0884" w:rsidRDefault="00000000">
      <w:pPr>
        <w:pStyle w:val="BodyText"/>
      </w:pPr>
      <w:r>
        <w:t>Centers for Disease Control and Prevention. (2026). Data and reports | NARMS. https://www.cdc.gov/narms/data/index.html</w:t>
      </w:r>
    </w:p>
    <w:p w14:paraId="129C3622" w14:textId="77777777" w:rsidR="003E0884" w:rsidRDefault="00000000">
      <w:pPr>
        <w:pStyle w:val="BodyText"/>
      </w:pPr>
      <w:r>
        <w:t>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14:paraId="0DD561D0" w14:textId="77777777" w:rsidR="003E0884" w:rsidRDefault="00000000">
      <w:pPr>
        <w:pStyle w:val="BodyText"/>
      </w:pPr>
      <w:r>
        <w:t>Kuhn, M., &amp; Wickham, H. (2020). Tidymodels: A collection of packages for modeling and machine learning using tidyverse principles. https://www.tidymodels.org</w:t>
      </w:r>
    </w:p>
    <w:p w14:paraId="4E162986" w14:textId="77777777" w:rsidR="003E0884" w:rsidRDefault="00000000">
      <w:pPr>
        <w:pStyle w:val="BodyText"/>
      </w:pPr>
      <w:r>
        <w:t>McDermott, P. F., Tyson, G. H., Kabera, C., Chen, Y., Li, C., Folster, J. P., Ayers, S. L., Lam, C., Tate, H., &amp; Zhao, S. (2016). Whole-genome sequencing for detecting antimicrobial resistance in nontyphoidal Salmonella. Antimicrobial Agents and Chemotherapy, 60(9), 5515–5520. https://doi.org/10.1128/AAC.01030-16</w:t>
      </w:r>
    </w:p>
    <w:p w14:paraId="4343E607" w14:textId="77777777" w:rsidR="003E0884" w:rsidRDefault="00000000">
      <w:pPr>
        <w:pStyle w:val="BodyText"/>
      </w:pPr>
      <w:r>
        <w:t>National Center for Biotechnology Information. (2026). Pathogen Detection. Retrieved April 27, 2026, from https://www.ncbi.nlm.nih.gov/pathogens/</w:t>
      </w:r>
    </w:p>
    <w:p w14:paraId="1EDC670C" w14:textId="77777777" w:rsidR="003E0884" w:rsidRDefault="00000000">
      <w:pPr>
        <w:pStyle w:val="BodyText"/>
      </w:pPr>
      <w:r>
        <w:t>O’Neill, J. (2016). Tackling drug-resistant infections globally: Final report and recommendations. Review on Antimicrobial Resistance. https://amr-review.org</w:t>
      </w:r>
    </w:p>
    <w:p w14:paraId="0869FC4C" w14:textId="77777777" w:rsidR="003E0884" w:rsidRDefault="00000000">
      <w:pPr>
        <w:pStyle w:val="BodyText"/>
      </w:pPr>
      <w:r>
        <w:t>R Core Team. (2024). R: A language and environment for statistical computing (Version 4.4.x) [Computer software]. R Foundation for Statistical Computing. https://www.r-project.org</w:t>
      </w:r>
    </w:p>
    <w:p w14:paraId="6500A747" w14:textId="77777777" w:rsidR="003E0884" w:rsidRDefault="00000000">
      <w:pPr>
        <w:pStyle w:val="BodyText"/>
      </w:pPr>
      <w:r>
        <w:t>Van Boeckel, T. P., Brower, C., Gilbert, M., Grenfell, B. T., Levin, S. A., Robinson, T. P., Teillant, A., &amp; Laxminarayan, R. (2015). Global trends in antimicrobial use in food animals. Proceedings of the National Academy of Sciences, 112(18), 5649–5654. https://doi.org/10.1073/pnas.1503141112</w:t>
      </w:r>
    </w:p>
    <w:p w14:paraId="651E4D6B" w14:textId="77777777" w:rsidR="003E0884" w:rsidRDefault="00000000">
      <w:pPr>
        <w:pStyle w:val="BodyText"/>
      </w:pPr>
      <w:r>
        <w:t>World Health Organization. (2022). Global antimicrobial resistance and use surveillance system (GLASS) report: 2022. https://www.who.int/publications/i/item/9789240062702</w:t>
      </w:r>
    </w:p>
    <w:p w14:paraId="568D0106" w14:textId="77777777" w:rsidR="003E0884" w:rsidRDefault="00000000">
      <w:pPr>
        <w:pStyle w:val="BodyText"/>
      </w:pPr>
      <w:r>
        <w:t>World Health Organization. (2024). Antimicrobial resistance. https://www.who.int/news-room/fact-sheets/detail/antimicrobial-resistance</w:t>
      </w:r>
    </w:p>
    <w:p w14:paraId="7A6D2662" w14:textId="77777777" w:rsidR="003E0884" w:rsidRDefault="00000000">
      <w:pPr>
        <w:pStyle w:val="BodyText"/>
      </w:pPr>
      <w:r>
        <w:lastRenderedPageBreak/>
        <w:t>Wright, M. N., &amp; Ziegler, A. (2017). ranger: A fast implementation of random forests for high dimensional data in C++ and R. Journal of Statistical Software, 77(1), 1–17. https://doi.org/10.18637/jss.v077.i01</w:t>
      </w:r>
    </w:p>
    <w:p w14:paraId="48666A53" w14:textId="77777777" w:rsidR="003E0884" w:rsidRDefault="00000000">
      <w:pPr>
        <w:pStyle w:val="BodyText"/>
      </w:pPr>
      <w:r>
        <w:t>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bookmarkEnd w:id="43"/>
    </w:p>
    <w:sectPr w:rsidR="003E088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5E27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6866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E56A0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5811621">
    <w:abstractNumId w:val="0"/>
  </w:num>
  <w:num w:numId="2" w16cid:durableId="438180729">
    <w:abstractNumId w:val="1"/>
  </w:num>
  <w:num w:numId="3" w16cid:durableId="1932354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E0884"/>
    <w:rsid w:val="00236B07"/>
    <w:rsid w:val="003E0884"/>
    <w:rsid w:val="005A548A"/>
    <w:rsid w:val="00AB4ADF"/>
    <w:rsid w:val="00B35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A1F52"/>
  <w15:docId w15:val="{FF706374-E422-4E8B-AB5A-1BBD06B70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reinaantillon.github.io/marcoreina-MADA-project/code/eda-code/01_eda.html" TargetMode="External"/><Relationship Id="rId11" Type="http://schemas.openxmlformats.org/officeDocument/2006/relationships/image" Target="media/image4.png"/><Relationship Id="rId5" Type="http://schemas.openxmlformats.org/officeDocument/2006/relationships/hyperlink" Target="https://reinaantillon.github.io/marcoreina-MADA-project/" TargetMode="Externa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hyperlink" Target="https://reinaantillon.github.io/marcoreina-MADA-project/code/analysis-code/02_descriptive-analysis.html" TargetMode="External"/><Relationship Id="rId19" Type="http://schemas.openxmlformats.org/officeDocument/2006/relationships/hyperlink" Target="https://reinaantillon.github.io/marcoreina-MADA-project/code/analysis-code/05_cross-validation.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reinaantillon.github.io/marcoreina-MADA-project/code/analysis-code/04_random-forest.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21</Pages>
  <Words>4465</Words>
  <Characters>25452</Characters>
  <Application>Microsoft Office Word</Application>
  <DocSecurity>0</DocSecurity>
  <Lines>212</Lines>
  <Paragraphs>59</Paragraphs>
  <ScaleCrop>false</ScaleCrop>
  <Company/>
  <LinksUpToDate>false</LinksUpToDate>
  <CharactersWithSpaces>29858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cp:lastModifiedBy>Marco Reina Antillon</cp:lastModifiedBy>
  <cp:revision>3</cp:revision>
  <dcterms:created xsi:type="dcterms:W3CDTF">2026-04-27T03:00:00Z</dcterms:created>
  <dcterms:modified xsi:type="dcterms:W3CDTF">2026-04-27T03:36:00Z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