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Times New Roman" w:hAnsi="Times New Roman" w:eastAsia="微软雅黑"/>
          <w:b/>
          <w:color w:val="1F4E79"/>
          <w:sz w:val="44"/>
        </w:rPr>
        <w:t>迈克耳孙干涉仪及激光波长测量</w:t>
      </w:r>
    </w:p>
    <w:p>
      <w:pPr>
        <w:spacing w:after="700"/>
        <w:jc w:val="center"/>
      </w:pPr>
      <w:r>
        <w:rPr>
          <w:rFonts w:ascii="Times New Roman" w:hAnsi="Times New Roman" w:eastAsia="微软雅黑"/>
          <w:b/>
          <w:color w:val="2F5496"/>
          <w:sz w:val="36"/>
        </w:rPr>
        <w:t>课前预习问答题（含参考答案）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班级</w:t>
            </w:r>
          </w:p>
        </w:tc>
        <w:tc>
          <w:tcPr>
            <w:tcW w:type="dxa" w:w="2268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______________</w:t>
            </w:r>
          </w:p>
        </w:tc>
        <w:tc>
          <w:tcPr>
            <w:tcW w:type="dxa" w:w="1247"/>
            <w:vAlign w:val="center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姓名</w:t>
            </w:r>
          </w:p>
        </w:tc>
        <w:tc>
          <w:tcPr>
            <w:tcW w:type="dxa" w:w="2268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______________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学号</w:t>
            </w:r>
          </w:p>
        </w:tc>
        <w:tc>
          <w:tcPr>
            <w:tcW w:type="dxa" w:w="2268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______________</w:t>
            </w:r>
          </w:p>
        </w:tc>
        <w:tc>
          <w:tcPr>
            <w:tcW w:type="dxa" w:w="1247"/>
            <w:vAlign w:val="center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完成日期</w:t>
            </w:r>
          </w:p>
        </w:tc>
        <w:tc>
          <w:tcPr>
            <w:tcW w:type="dxa" w:w="2268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______________</w:t>
            </w:r>
          </w:p>
        </w:tc>
      </w:tr>
    </w:tbl>
    <w:p>
      <w:pPr>
        <w:keepNext w:val="0"/>
        <w:spacing w:before="0" w:after="100" w:line="32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B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60"/>
            </w:pPr>
            <w:r>
              <w:rPr>
                <w:rFonts w:ascii="Times New Roman" w:hAnsi="Times New Roman" w:eastAsia="微软雅黑"/>
                <w:b/>
                <w:color w:val="1F4E79"/>
                <w:sz w:val="22"/>
              </w:rPr>
              <w:t>预习目标</w:t>
            </w:r>
          </w:p>
          <w:p>
            <w:pPr>
              <w:spacing w:after="40"/>
              <w:ind w:left="227"/>
            </w:pPr>
            <w:r>
              <w:rPr>
                <w:rFonts w:ascii="Times New Roman" w:hAnsi="Times New Roman" w:eastAsia="宋体"/>
                <w:sz w:val="21"/>
              </w:rPr>
              <w:t>• 认识仪器结构与分振幅干涉光路；</w:t>
            </w:r>
          </w:p>
          <w:p>
            <w:pPr>
              <w:spacing w:after="40"/>
              <w:ind w:left="227"/>
            </w:pPr>
            <w:r>
              <w:rPr>
                <w:rFonts w:ascii="Times New Roman" w:hAnsi="Times New Roman" w:eastAsia="宋体"/>
                <w:sz w:val="21"/>
              </w:rPr>
              <w:t>• 理解补偿板、等倾干涉及条纹吞吐规律；</w:t>
            </w:r>
          </w:p>
          <w:p>
            <w:pPr>
              <w:spacing w:after="40"/>
              <w:ind w:left="227"/>
            </w:pPr>
            <w:r>
              <w:rPr>
                <w:rFonts w:ascii="Times New Roman" w:hAnsi="Times New Roman" w:eastAsia="宋体"/>
                <w:sz w:val="21"/>
              </w:rPr>
              <w:t>• 掌握“镜面位移—光程差—条纹数—波长”的测量链条；</w:t>
            </w:r>
          </w:p>
          <w:p>
            <w:pPr>
              <w:spacing w:after="40"/>
              <w:ind w:left="227"/>
            </w:pPr>
            <w:r>
              <w:rPr>
                <w:rFonts w:ascii="Times New Roman" w:hAnsi="Times New Roman" w:eastAsia="宋体"/>
                <w:sz w:val="21"/>
              </w:rPr>
              <w:t>• 明确规范调节、读数、误差控制与现代应用。</w:t>
            </w:r>
          </w:p>
        </w:tc>
      </w:tr>
    </w:tbl>
    <w:p>
      <w:pPr>
        <w:keepNext w:val="0"/>
        <w:spacing w:before="240" w:after="80" w:line="324" w:lineRule="auto"/>
        <w:jc w:val="center"/>
      </w:pPr>
      <w:r>
        <w:rPr>
          <w:rFonts w:ascii="Times New Roman" w:hAnsi="Times New Roman" w:eastAsia="宋体"/>
          <w:sz w:val="21"/>
        </w:rPr>
        <w:t>建议：先独立完成题目，再对照参考答案订正；简答题尽量使用完整物理语言作答。</w:t>
      </w:r>
    </w:p>
    <w:p>
      <w:r>
        <w:br w:type="page"/>
      </w:r>
    </w:p>
    <w:p>
      <w:pPr>
        <w:pStyle w:val="Heading1"/>
      </w:pPr>
      <w:r>
        <w:t>第一部分  课前预习题</w:t>
      </w:r>
    </w:p>
    <w:p>
      <w:pPr>
        <w:pStyle w:val="Heading2"/>
        <w:keepNext/>
        <w:spacing w:before="0" w:after="100" w:line="324" w:lineRule="auto"/>
      </w:pPr>
      <w:r>
        <w:rPr>
          <w:rFonts w:ascii="Times New Roman" w:hAnsi="Times New Roman" w:eastAsia="宋体"/>
          <w:sz w:val="21"/>
        </w:rPr>
        <w:t>一、单项选择题（共15题）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1. 迈克耳孙干涉仪按照产生相干光的方法分类，属于（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分波前干涉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分振幅干涉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偏振干涉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衍射干涉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2. 在本实验的仪器标记中，可沿导轨前后移动、用于改变光程差的反射镜是（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M₁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M₂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G₁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G₂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3. 分光板 G₁ 的主要作用是（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只改变光的传播方向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将入射光分成两束并使返回光重新合成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扩大激光光斑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消除机械回程差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4. 补偿板 G₂ 通常应与分光板满足的关系是（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材料、厚度相同且近似平行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材料相同但厚度必须加倍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厚度相同但必须相互垂直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只要透明即可，无其他要求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5. 加入补偿板的主要目的是（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使两束光的频率相同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补偿两束光在玻璃中传播不同所产生的附加光程差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把直条纹变为圆条纹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提高激光器输出功率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6. 可动镜沿光轴移动 Δx 时，相应光臂的光程改变约为（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Δx/2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Δx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2Δx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4Δx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7. 当 M₁ 与 M₂ 的等效虚像 M₂′近似平行时，常见的干涉图样是（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同心圆环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单缝衍射条纹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棋盘格条纹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无规则散斑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8. 等倾干涉中，同一级条纹对应的光线具有相同的（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传播距离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入射倾角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光强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偏振方向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9. 若可动镜移动距离为 Δx，观察到中心完整吞入或吐出 N 条条纹，则激光波长为（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λ=Δx/N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λ=N/(2Δx)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λ=2Δx/N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λ=2NΔx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10. 测量波长时盯住视场中心计数，最直接的理论依据是（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中心处光强永远最大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中心附近 θ≈0，光程差可近似写为 2d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中心条纹不会移动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中心处不存在相位差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11. 正式测量时要求微动手轮始终单向转动，主要是为了减小（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色散误差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回程差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激光散斑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空气折射率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12. 以条纹数 N 为横坐标、镜面位置或位移 x 为纵坐标进行线性拟合，若斜率为 a，则（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λ=a/2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λ=2a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λ=1/a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λ=2/a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13. 使用 He-Ne 激光器开展本实验，最主要的优势是（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单色性和相干性较好，且可见光便于观察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能完全消除环境振动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波长不受任何环境影响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不需要调节两束光重合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14. 如果两束返回光在观察屏处没有较好地空间重合，最可能出现的现象是（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条纹更亮、更清晰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条纹模糊、对比度下降，甚至难以观察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测得波长必然变为两倍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补偿板自动失效</w:t>
      </w:r>
    </w:p>
    <w:p>
      <w:pPr>
        <w:keepNext/>
        <w:spacing w:after="40" w:line="300" w:lineRule="auto"/>
      </w:pPr>
      <w:r>
        <w:rPr>
          <w:rFonts w:ascii="Times New Roman" w:hAnsi="Times New Roman" w:eastAsia="宋体"/>
          <w:b/>
          <w:sz w:val="21"/>
        </w:rPr>
        <w:t>15. 在多组数据处理中采用最小二乘法拟合，而不是仅用首末两点计算，主要是为了（ ）。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A. 改变激光真实波长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B. 利用全部数据减小随机误差的影响</w:t>
      </w:r>
    </w:p>
    <w:p>
      <w:pPr>
        <w:keepNext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C. 消除一切系统误差</w:t>
      </w:r>
    </w:p>
    <w:p>
      <w:pPr>
        <w:keepNext w:val="0"/>
        <w:spacing w:after="20" w:line="288" w:lineRule="auto"/>
        <w:ind w:left="369"/>
      </w:pPr>
      <w:r>
        <w:rPr>
          <w:rFonts w:ascii="Times New Roman" w:hAnsi="Times New Roman" w:eastAsia="宋体"/>
          <w:sz w:val="21"/>
        </w:rPr>
        <w:t>D. 避免记录条纹数</w:t>
      </w:r>
    </w:p>
    <w:p>
      <w:pPr>
        <w:pStyle w:val="Heading2"/>
        <w:keepNext/>
        <w:spacing w:before="160" w:after="100" w:line="324" w:lineRule="auto"/>
      </w:pPr>
      <w:r>
        <w:rPr>
          <w:rFonts w:ascii="Times New Roman" w:hAnsi="Times New Roman" w:eastAsia="宋体"/>
          <w:sz w:val="21"/>
        </w:rPr>
        <w:t>二、判断题（共10题；正确写“√”，错误写“×”）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1. 迈克耳孙干涉仪的两束相干光来自同一束入射光，因此容易保持稳定的相位关系。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2. 补偿板的作用是让两束光在空气中的几何路程完全相等。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3. 可动镜移动 λ/2 时，相应光程差改变 λ，中心干涉级次变化一级。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4. 实验中必须先准确判断圆心当前的绝对干涉级次 k，才能计算激光波长。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5. 等倾干涉的光程差可写为 Δ=2d cosθ；在中心附近可近似为 Δ≈2d。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6. 只要两束光频率相同，即使空间上不重合，也一定能在屏上形成清晰干涉条纹。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7. 正式计数时把不完整的半次明暗变化计为一条，会引入条纹计数误差。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8. 测量过程中反向转动微动手轮，可能因丝杆机械间隙导致读数与镜面真实位移不一致。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9. 每隔较多条纹记录一次数据，可以增大对应位移量，从而降低读数误差的相对影响。  （    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10. OCT、LIGO 和天琴计划虽然应用场景不同，但都体现了利用干涉信号测量微小光程差变化的思想。  （    ）</w:t>
      </w:r>
    </w:p>
    <w:p>
      <w:pPr>
        <w:pStyle w:val="Heading2"/>
        <w:keepNext/>
        <w:spacing w:before="160" w:after="100" w:line="324" w:lineRule="auto"/>
      </w:pPr>
      <w:r>
        <w:rPr>
          <w:rFonts w:ascii="Times New Roman" w:hAnsi="Times New Roman" w:eastAsia="宋体"/>
          <w:sz w:val="21"/>
        </w:rPr>
        <w:t>三、简答题（共8题）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1. 用“一分为二—分别传播—合二为一”的逻辑，简述迈克耳孙干涉仪形成干涉的光路过程。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2. 补偿板为什么要与分光板的材料、厚度相同并近似平行？撤去补偿板后，对 He-Ne 激光和白光干涉分别可能产生什么影响？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3. 说明为什么可动镜移动 Δx 会引起 2Δx 的光程差变化，并据此推导 λ=2Δx/N。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4. 为什么实验测量不需要知道初始干涉级次 k？这种处理体现了怎样的测量思想？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5. 比较等倾干涉与等厚干涉：分别说明“相同什么量”的位置形成同一级条纹，以及常见条纹形态。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6. 写出调节干涉仪的合理顺序，并分别说明“先调光斑重合、后放扩束镜”和“先粗调等光程”的物理目的。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7. 列举至少四项影响波长测量准确度的因素，并针对其中两项提出具体改进措施。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8. 从基础实验到现代应用：任选 OCT、LIGO 或天琴计划之一，说明它与迈克耳孙干涉仪共同的核心测量思想及主要差异。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pPr>
        <w:spacing w:after="40"/>
        <w:ind w:left="170"/>
      </w:pPr>
      <w:r>
        <w:rPr>
          <w:rFonts w:ascii="Times New Roman" w:hAnsi="Times New Roman" w:eastAsia="宋体"/>
          <w:color w:val="828282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第二部分  参考答案与解析</w:t>
      </w:r>
    </w:p>
    <w:p>
      <w:pPr>
        <w:pStyle w:val="Heading2"/>
        <w:keepNext/>
        <w:spacing w:before="0" w:after="100" w:line="324" w:lineRule="auto"/>
      </w:pPr>
      <w:r>
        <w:rPr>
          <w:rFonts w:ascii="Times New Roman" w:hAnsi="Times New Roman" w:eastAsia="宋体"/>
          <w:sz w:val="21"/>
        </w:rPr>
        <w:t>一、单项选择题答案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2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3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4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5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6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7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8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9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10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11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12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13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14</w:t>
            </w:r>
          </w:p>
        </w:tc>
        <w:tc>
          <w:tcPr>
            <w:tcW w:type="dxa" w:w="665"/>
            <w:shd w:fill="D9EAF7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15</w:t>
            </w:r>
          </w:p>
        </w:tc>
      </w:tr>
      <w:tr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A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A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C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A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C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A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  <w:tc>
          <w:tcPr>
            <w:tcW w:type="dxa" w:w="66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B</w:t>
            </w:r>
          </w:p>
        </w:tc>
      </w:tr>
    </w:tbl>
    <w:p>
      <w:pPr>
        <w:keepNext w:val="0"/>
        <w:spacing w:before="0" w:after="40" w:line="324" w:lineRule="auto"/>
      </w:pP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1. 【答案】B</w:t>
      </w:r>
      <w:r>
        <w:rPr>
          <w:rFonts w:ascii="Times New Roman" w:hAnsi="Times New Roman" w:eastAsia="宋体"/>
          <w:sz w:val="21"/>
        </w:rPr>
        <w:t xml:space="preserve">  【解析】分光板将同一束光的振幅分成反射光和透射光，两束光分别传播后再叠加。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2. 【答案】A</w:t>
      </w:r>
      <w:r>
        <w:rPr>
          <w:rFonts w:ascii="Times New Roman" w:hAnsi="Times New Roman" w:eastAsia="宋体"/>
          <w:sz w:val="21"/>
        </w:rPr>
        <w:t xml:space="preserve">  【解析】本课件中 M₁ 为可动镜，M₂ 为固定镜；M₁ 的位移用于改变两臂光程差。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3. 【答案】B</w:t>
      </w:r>
      <w:r>
        <w:rPr>
          <w:rFonts w:ascii="Times New Roman" w:hAnsi="Times New Roman" w:eastAsia="宋体"/>
          <w:sz w:val="21"/>
        </w:rPr>
        <w:t xml:space="preserve">  【解析】G₁既完成分束，也使两束返回光重新叠加，是干涉光路的核心元件。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4. 【答案】A</w:t>
      </w:r>
      <w:r>
        <w:rPr>
          <w:rFonts w:ascii="Times New Roman" w:hAnsi="Times New Roman" w:eastAsia="宋体"/>
          <w:sz w:val="21"/>
        </w:rPr>
        <w:t xml:space="preserve">  【解析】这样才能尽可能补偿分光板玻璃带来的附加光程及色散效应。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5. 【答案】B</w:t>
      </w:r>
      <w:r>
        <w:rPr>
          <w:rFonts w:ascii="Times New Roman" w:hAnsi="Times New Roman" w:eastAsia="宋体"/>
          <w:sz w:val="21"/>
        </w:rPr>
        <w:t xml:space="preserve">  【解析】补偿板不改变两束光的频率，而是让两束光在玻璃介质中的传播条件尽量一致。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6. 【答案】C</w:t>
      </w:r>
      <w:r>
        <w:rPr>
          <w:rFonts w:ascii="Times New Roman" w:hAnsi="Times New Roman" w:eastAsia="宋体"/>
          <w:sz w:val="21"/>
        </w:rPr>
        <w:t xml:space="preserve">  【解析】光在该光臂中往返传播，去程和返程各改变 Δx，总光程改变 2Δx。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7. 【答案】A</w:t>
      </w:r>
      <w:r>
        <w:rPr>
          <w:rFonts w:ascii="Times New Roman" w:hAnsi="Times New Roman" w:eastAsia="宋体"/>
          <w:sz w:val="21"/>
        </w:rPr>
        <w:t xml:space="preserve">  【解析】两等效反射面近似平行时形成等倾干涉，典型图样为同心圆环。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8. 【答案】B</w:t>
      </w:r>
      <w:r>
        <w:rPr>
          <w:rFonts w:ascii="Times New Roman" w:hAnsi="Times New Roman" w:eastAsia="宋体"/>
          <w:sz w:val="21"/>
        </w:rPr>
        <w:t xml:space="preserve">  【解析】等倾干涉的光程差主要由倾角 θ 决定，相同 θ 对应同一级条纹。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9. 【答案】C</w:t>
      </w:r>
      <w:r>
        <w:rPr>
          <w:rFonts w:ascii="Times New Roman" w:hAnsi="Times New Roman" w:eastAsia="宋体"/>
          <w:sz w:val="21"/>
        </w:rPr>
        <w:t xml:space="preserve">  【解析】光程差变化为 2Δx；N 个周期对应 Nλ，因此 2Δx=Nλ。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10. 【答案】B</w:t>
      </w:r>
      <w:r>
        <w:rPr>
          <w:rFonts w:ascii="Times New Roman" w:hAnsi="Times New Roman" w:eastAsia="宋体"/>
          <w:sz w:val="21"/>
        </w:rPr>
        <w:t xml:space="preserve">  【解析】中心处 θ≈0，cosθ≈1，故光程差关系最简单，便于稳定计数。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11. 【答案】B</w:t>
      </w:r>
      <w:r>
        <w:rPr>
          <w:rFonts w:ascii="Times New Roman" w:hAnsi="Times New Roman" w:eastAsia="宋体"/>
          <w:sz w:val="21"/>
        </w:rPr>
        <w:t xml:space="preserve">  【解析】传动机构存在机械间隙，反向转动会产生回程差。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12. 【答案】B</w:t>
      </w:r>
      <w:r>
        <w:rPr>
          <w:rFonts w:ascii="Times New Roman" w:hAnsi="Times New Roman" w:eastAsia="宋体"/>
          <w:sz w:val="21"/>
        </w:rPr>
        <w:t xml:space="preserve">  【解析】由 x=(λ/2)N+b 可知斜率 a=λ/2，故 λ=2a。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13. 【答案】A</w:t>
      </w:r>
      <w:r>
        <w:rPr>
          <w:rFonts w:ascii="Times New Roman" w:hAnsi="Times New Roman" w:eastAsia="宋体"/>
          <w:sz w:val="21"/>
        </w:rPr>
        <w:t xml:space="preserve">  【解析】He-Ne 激光方向性、单色性、相干性较好，632.8 nm 红光也便于肉眼观察。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14. 【答案】B</w:t>
      </w:r>
      <w:r>
        <w:rPr>
          <w:rFonts w:ascii="Times New Roman" w:hAnsi="Times New Roman" w:eastAsia="宋体"/>
          <w:sz w:val="21"/>
        </w:rPr>
        <w:t xml:space="preserve">  【解析】干涉不仅要求时间相干，还要求两束光在观察区域有良好的空间重叠。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15. 【答案】B</w:t>
      </w:r>
      <w:r>
        <w:rPr>
          <w:rFonts w:ascii="Times New Roman" w:hAnsi="Times New Roman" w:eastAsia="宋体"/>
          <w:sz w:val="21"/>
        </w:rPr>
        <w:t xml:space="preserve">  【解析】拟合能综合全部数据、减小随机波动对斜率估计的影响，但不能自动消除所有系统误差。</w:t>
      </w:r>
    </w:p>
    <w:p>
      <w:pPr>
        <w:pStyle w:val="Heading2"/>
        <w:keepNext/>
        <w:spacing w:before="160" w:after="100" w:line="324" w:lineRule="auto"/>
      </w:pPr>
      <w:r>
        <w:rPr>
          <w:rFonts w:ascii="Times New Roman" w:hAnsi="Times New Roman" w:eastAsia="宋体"/>
          <w:sz w:val="21"/>
        </w:rPr>
        <w:t>二、判断题答案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1. 【答案】√</w:t>
      </w:r>
      <w:r>
        <w:rPr>
          <w:rFonts w:ascii="Times New Roman" w:hAnsi="Times New Roman" w:eastAsia="宋体"/>
          <w:sz w:val="21"/>
        </w:rPr>
        <w:t xml:space="preserve">  【解析】两束光由同一入射光分束而来，频率相同且相位关系较稳定。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2. 【答案】×</w:t>
      </w:r>
      <w:r>
        <w:rPr>
          <w:rFonts w:ascii="Times New Roman" w:hAnsi="Times New Roman" w:eastAsia="宋体"/>
          <w:sz w:val="21"/>
        </w:rPr>
        <w:t xml:space="preserve">  【解析】补偿的是玻璃介质中传播次数不同造成的附加光程差，不是保证空气几何路程绝对相等。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3. 【答案】√</w:t>
      </w:r>
      <w:r>
        <w:rPr>
          <w:rFonts w:ascii="Times New Roman" w:hAnsi="Times New Roman" w:eastAsia="宋体"/>
          <w:sz w:val="21"/>
        </w:rPr>
        <w:t xml:space="preserve">  【解析】镜面位移经往返传播转化为两倍光程差变化。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4. 【答案】×</w:t>
      </w:r>
      <w:r>
        <w:rPr>
          <w:rFonts w:ascii="Times New Roman" w:hAnsi="Times New Roman" w:eastAsia="宋体"/>
          <w:sz w:val="21"/>
        </w:rPr>
        <w:t xml:space="preserve">  【解析】实验利用级次变化量 N，避开无法直接确定的初始绝对级次。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5. 【答案】√</w:t>
      </w:r>
      <w:r>
        <w:rPr>
          <w:rFonts w:ascii="Times New Roman" w:hAnsi="Times New Roman" w:eastAsia="宋体"/>
          <w:sz w:val="21"/>
        </w:rPr>
        <w:t xml:space="preserve">  【解析】完整表达式体现光程差随倾角变化，中心近似用于波长测量。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6. 【答案】×</w:t>
      </w:r>
      <w:r>
        <w:rPr>
          <w:rFonts w:ascii="Times New Roman" w:hAnsi="Times New Roman" w:eastAsia="宋体"/>
          <w:sz w:val="21"/>
        </w:rPr>
        <w:t xml:space="preserve">  【解析】两束光还必须在空间上重叠，并具有合适的偏振关系与稳定相位差。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7. 【答案】√</w:t>
      </w:r>
      <w:r>
        <w:rPr>
          <w:rFonts w:ascii="Times New Roman" w:hAnsi="Times New Roman" w:eastAsia="宋体"/>
          <w:sz w:val="21"/>
        </w:rPr>
        <w:t xml:space="preserve">  【解析】应以一次完整的条纹吞入或吐出作为一次计数。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8. 【答案】√</w:t>
      </w:r>
      <w:r>
        <w:rPr>
          <w:rFonts w:ascii="Times New Roman" w:hAnsi="Times New Roman" w:eastAsia="宋体"/>
          <w:sz w:val="21"/>
        </w:rPr>
        <w:t xml:space="preserve">  【解析】因此正式测量须单向、缓慢、连续转动。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9. 【答案】√</w:t>
      </w:r>
      <w:r>
        <w:rPr>
          <w:rFonts w:ascii="Times New Roman" w:hAnsi="Times New Roman" w:eastAsia="宋体"/>
          <w:sz w:val="21"/>
        </w:rPr>
        <w:t xml:space="preserve">  【解析】例如每 50 条记录一次，可使对应位移达到几十微米量级，降低相对读数误差。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color w:val="1F4E79"/>
          <w:sz w:val="21"/>
        </w:rPr>
        <w:t>10. 【答案】√</w:t>
      </w:r>
      <w:r>
        <w:rPr>
          <w:rFonts w:ascii="Times New Roman" w:hAnsi="Times New Roman" w:eastAsia="宋体"/>
          <w:sz w:val="21"/>
        </w:rPr>
        <w:t xml:space="preserve">  【解析】三者都将微小长度或光程变化转化为可检测的干涉信号。</w:t>
      </w:r>
    </w:p>
    <w:p>
      <w:pPr>
        <w:pStyle w:val="Heading2"/>
        <w:keepNext/>
        <w:spacing w:before="160" w:after="100" w:line="324" w:lineRule="auto"/>
      </w:pPr>
      <w:r>
        <w:rPr>
          <w:rFonts w:ascii="Times New Roman" w:hAnsi="Times New Roman" w:eastAsia="宋体"/>
          <w:sz w:val="21"/>
        </w:rPr>
        <w:t>三、简答题参考答案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1. 用“一分为二—分别传播—合二为一”的逻辑，简述迈克耳孙干涉仪形成干涉的光路过程。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入射激光经扩束后射向分光板 G₁，在半透半反膜处分成反射光和透射光。两束光分别沿互相垂直的两臂传播，经 M₁、M₂ 反射后沿原路返回，在 G₁ 处重新合成并进入观察屏。由于两束光来自同一光源，且频率相同、偏振方向合适、相位差稳定，当它们在空间上重叠时便形成稳定干涉条纹。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2. 补偿板为什么要与分光板的材料、厚度相同并近似平行？撤去补偿板后，对 He-Ne 激光和白光干涉分别可能产生什么影响？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两束光在分光板玻璃中的通过次数不同，会引入额外的玻璃光程差；玻璃还具有色散，使不同波长产生不同的附加相位。令补偿板与分光板材料、厚度相同并近似平行，可使两束光在玻璃中的传播条件尽量一致。对相干长度较长的 He-Ne 激光，撤去补偿板后仍可能看到条纹，但清晰度、对称性和定量准确性可能下降；对白光或宽谱光源，附加光程和色散影响更显著，条纹可见度会明显降低，通常只有非常接近等光程时才可能观察到白光条纹。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3. 说明为什么可动镜移动 Δx 会引起 2Δx 的光程差变化，并据此推导 λ=2Δx/N。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设可动镜沿光轴移动 Δx。光到达镜面时多走（或少走）Δx，反射返回时再多走（或少走）Δx，所以该光臂总光程改变 2Δx。每当光程差改变一个波长 λ，中心干涉级次变化一级，表现为完整吞入或吐出一条条纹。若共变化 N 条，则 2Δx=Nλ，因此 λ=2Δx/N。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4. 为什么实验测量不需要知道初始干涉级次 k？这种处理体现了怎样的测量思想？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初始时圆心可能对应第 k 级明纹或暗纹，但 k 无法直接辨认。实验不测绝对光程差，而只测镜面移动前后光程差的变化量；条纹数 N 就是干涉级次的变化量。因此初始 k 在作差时被消去。它体现了“以变化量代替绝对量”和“把微观波长转化为宏观位移与可计数条纹”的转换测量思想。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5. 比较等倾干涉与等厚干涉：分别说明“相同什么量”的位置形成同一级条纹，以及常见条纹形态。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等倾干涉：相同倾角 θ 的光线具有相同光程差，同一级条纹通常为同心圆环；在迈克耳孙干涉仪中常对应 M₁ 与 M₂′近似平行。等厚干涉：薄膜厚度相同的位置具有相同光程差，常见为平行直条纹、弯曲条纹或空气劈尖条纹；在本仪器中常由 M₁ 与 M₂′存在小夹角而形成。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6. 写出调节干涉仪的合理顺序，并分别说明“先调光斑重合、后放扩束镜”和“先粗调等光程”的物理目的。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合理顺序可概括为：先调机械状态，再调光路；先粗调等光程，再调两束返回光重合；先观察稳定条纹，再正式计数和读数。先粗调等光程，是为了使两臂光程差处于光源相干长度允许范围，并提高找到条纹的效率。未扩束时光点集中，便于准确判断两束返回光是否重合；重合后再加入扩束镜，才能在较大视场内得到清晰圆环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7. 列举至少四项影响波长测量准确度的因素，并针对其中两项提出具体改进措施。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可能因素包括：条纹漏计或多计、中心明暗判断误差、主尺与微动机构读数误差、丝杆回程差、两束光空间重合不良、反射镜不平行、实验台振动、空气流动及温度变化、空气折射率变化等。改进示例：始终单向转动以减小回程差；用光电探测器和自动计数替代人工数条纹；使用防震平台并封闭光路；增加测量组数并进行线性拟合与残差分析；采用数字位移传感器提高读数精度。</w:t>
      </w:r>
    </w:p>
    <w:p>
      <w:pPr>
        <w:keepNext/>
        <w:spacing w:after="40"/>
      </w:pPr>
      <w:r>
        <w:rPr>
          <w:rFonts w:ascii="Times New Roman" w:hAnsi="Times New Roman" w:eastAsia="宋体"/>
          <w:b/>
          <w:color w:val="1F4E79"/>
          <w:sz w:val="21"/>
        </w:rPr>
        <w:t>8. 从基础实验到现代应用：任选 OCT、LIGO 或天琴计划之一，说明它与迈克耳孙干涉仪共同的核心测量思想及主要差异。</w:t>
      </w:r>
    </w:p>
    <w:p>
      <w:pPr>
        <w:spacing w:after="140" w:line="324" w:lineRule="auto"/>
        <w:ind w:left="283" w:firstLine="420"/>
      </w:pPr>
      <w:r>
        <w:rPr>
          <w:rFonts w:ascii="Times New Roman" w:hAnsi="Times New Roman" w:eastAsia="宋体"/>
          <w:sz w:val="21"/>
        </w:rPr>
        <w:t>示例（LIGO）：共同核心是把激光分成两臂传播后重新干涉，将极微小的臂长差或光程差变化转化为干涉信号变化。基础实验通过人工观察条纹吞吐和机械读数测量波长；LIGO 则使用千米级真空光臂、法布里-珀罗腔、高稳定激光、隔振与光电探测系统，测量引力波造成的极微小差分臂长变化。应用尺度、灵敏度与工程复杂度不同，但底层逻辑相同。</w:t>
      </w:r>
    </w:p>
    <w:p>
      <w:pPr>
        <w:pStyle w:val="Heading2"/>
        <w:keepNext/>
        <w:spacing w:before="200" w:after="100" w:line="324" w:lineRule="auto"/>
      </w:pPr>
      <w:r>
        <w:rPr>
          <w:rFonts w:ascii="Times New Roman" w:hAnsi="Times New Roman" w:eastAsia="宋体"/>
          <w:sz w:val="21"/>
        </w:rPr>
        <w:t>核心关系速查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vAlign w:val="center"/>
            <w:shd w:fill="D9EAF7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等倾干涉光程差</w:t>
            </w:r>
          </w:p>
        </w:tc>
        <w:tc>
          <w:tcPr>
            <w:tcW w:type="dxa" w:w="5953"/>
            <w:vAlign w:val="center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Δ = 2d cosθ（中心附近 θ≈0，故 Δ≈2d）</w:t>
            </w:r>
          </w:p>
        </w:tc>
      </w:tr>
      <w:tr>
        <w:tc>
          <w:tcPr>
            <w:tcW w:type="dxa" w:w="2438"/>
            <w:vAlign w:val="center"/>
            <w:shd w:fill="D9EAF7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镜面位移与光程差变化</w:t>
            </w:r>
          </w:p>
        </w:tc>
        <w:tc>
          <w:tcPr>
            <w:tcW w:type="dxa" w:w="5953"/>
            <w:vAlign w:val="center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镜面移动 Δx，光程差变化 2Δx</w:t>
            </w:r>
          </w:p>
        </w:tc>
      </w:tr>
      <w:tr>
        <w:tc>
          <w:tcPr>
            <w:tcW w:type="dxa" w:w="2438"/>
            <w:vAlign w:val="center"/>
            <w:shd w:fill="D9EAF7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波长测量关系</w:t>
            </w:r>
          </w:p>
        </w:tc>
        <w:tc>
          <w:tcPr>
            <w:tcW w:type="dxa" w:w="5953"/>
            <w:vAlign w:val="center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2Δx = Nλ，故 λ = 2Δx/N</w:t>
            </w:r>
          </w:p>
        </w:tc>
      </w:tr>
      <w:tr>
        <w:tc>
          <w:tcPr>
            <w:tcW w:type="dxa" w:w="2438"/>
            <w:vAlign w:val="center"/>
            <w:shd w:fill="D9EAF7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sz w:val="21"/>
              </w:rPr>
              <w:t>线性拟合关系</w:t>
            </w:r>
          </w:p>
        </w:tc>
        <w:tc>
          <w:tcPr>
            <w:tcW w:type="dxa" w:w="5953"/>
            <w:vAlign w:val="center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x = (λ/2)N + b；若斜率为 a，则 λ = 2a</w:t>
            </w:r>
          </w:p>
        </w:tc>
      </w:tr>
    </w:tbl>
    <w:p>
      <w:pPr>
        <w:keepNext w:val="0"/>
        <w:spacing w:before="280" w:after="0" w:line="324" w:lineRule="auto"/>
        <w:jc w:val="center"/>
      </w:pPr>
      <w:r>
        <w:rPr>
          <w:rFonts w:ascii="Times New Roman" w:hAnsi="Times New Roman" w:eastAsia="宋体"/>
          <w:sz w:val="21"/>
        </w:rPr>
        <w:t>编制依据：参照《迈克耳孙干涉仪及激光波长测量》讲课PPT、讲稿及专业高阶问题与答辩答案整理。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/>
        <w:color w:val="6E6E6E"/>
        <w:sz w:val="17"/>
      </w:rPr>
      <w:t>课前预习问答题（含参考答案）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软雅黑"/>
        <w:color w:val="646464"/>
        <w:sz w:val="17"/>
      </w:rPr>
      <w:t>大学物理实验课前预习｜迈克耳孙干涉仪及激光波长测量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迈克耳孙干涉仪及激光波长测量课前预习问答题（含答案）</dc:title>
  <dc:subject>大学物理实验课前预习</dc:subject>
  <dc:creator/>
  <cp:keywords>迈克耳孙干涉仪, 激光波长, 课前预习, 大学物理实验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