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-716280</wp:posOffset>
            </wp:positionH>
            <wp:positionV relativeFrom="line">
              <wp:posOffset>-586105</wp:posOffset>
            </wp:positionV>
            <wp:extent cx="1945640" cy="755016"/>
            <wp:effectExtent l="0" t="0" r="0" b="0"/>
            <wp:wrapNone/>
            <wp:docPr id="1073741825" name="officeArt object" descr="http://www.institutojassa.edu.mx/images/general/logo_ja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www.institutojassa.edu.mx/images/general/logo_jass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55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  <w:r>
        <w:rPr>
          <w:rtl w:val="0"/>
          <w:lang w:val="es-ES_tradnl"/>
        </w:rPr>
        <w:t>Conforme al Plan de Estudios de la Educaci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 B</w:t>
      </w:r>
      <w:r>
        <w:rPr>
          <w:rtl w:val="0"/>
        </w:rPr>
        <w:t>á</w:t>
      </w:r>
      <w:r>
        <w:rPr>
          <w:rtl w:val="0"/>
          <w:lang w:val="it-IT"/>
        </w:rPr>
        <w:t xml:space="preserve">sica, </w:t>
      </w: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Con que material cuenta para atender  el desarrollo de la competencia del estudiante? Con base en la pregunta previa  revisa el an</w:t>
      </w:r>
      <w:r>
        <w:rPr>
          <w:rtl w:val="0"/>
        </w:rPr>
        <w:t>á</w:t>
      </w:r>
      <w:r>
        <w:rPr>
          <w:rtl w:val="0"/>
          <w:lang w:val="es-ES_tradnl"/>
        </w:rPr>
        <w:t>lisis pedag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 de los materiales y el enfoque del plan de estudios del 2011. Describir caracter</w:t>
      </w:r>
      <w:r>
        <w:rPr>
          <w:rtl w:val="0"/>
        </w:rPr>
        <w:t>í</w:t>
      </w:r>
      <w:r>
        <w:rPr>
          <w:rtl w:val="0"/>
          <w:lang w:val="es-ES_tradnl"/>
        </w:rPr>
        <w:t>sticas y uso pedag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 del material por asignatura.</w:t>
      </w:r>
    </w:p>
    <w:p>
      <w:pPr>
        <w:pStyle w:val="Body"/>
        <w:jc w:val="both"/>
      </w:pPr>
      <w:r>
        <w:rPr>
          <w:rtl w:val="0"/>
          <w:lang w:val="pt-PT"/>
        </w:rPr>
        <w:t>ASIGNATURA:</w:t>
      </w:r>
      <w:r>
        <w:rPr>
          <w:rtl w:val="0"/>
          <w:lang w:val="es-ES_tradnl"/>
        </w:rPr>
        <w:t xml:space="preserve"> Matem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ticas</w:t>
        <w:tab/>
      </w:r>
      <w:r>
        <w:rPr>
          <w:rtl w:val="0"/>
          <w:lang w:val="de-DE"/>
        </w:rPr>
        <w:t xml:space="preserve">   </w:t>
      </w:r>
      <w:r>
        <w:tab/>
        <w:tab/>
        <w:tab/>
      </w:r>
      <w:r>
        <w:rPr>
          <w:rtl w:val="0"/>
        </w:rPr>
        <w:t>GRADO:</w:t>
      </w:r>
      <w:r>
        <w:rPr>
          <w:rtl w:val="0"/>
          <w:lang w:val="es-ES_tradnl"/>
        </w:rPr>
        <w:t xml:space="preserve"> Primero de secundaria</w:t>
      </w:r>
    </w:p>
    <w:p>
      <w:pPr>
        <w:pStyle w:val="Body"/>
        <w:jc w:val="both"/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3102"/>
        <w:gridCol w:w="2882"/>
      </w:tblGrid>
      <w:tr>
        <w:tblPrEx>
          <w:shd w:val="clear" w:color="auto" w:fill="ced7e7"/>
        </w:tblPrEx>
        <w:trPr>
          <w:trHeight w:val="1906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COMPETENCIAS A DESARROLLAR (son las m</w:t>
            </w:r>
            <w:r>
              <w:rPr>
                <w:b w:val="1"/>
                <w:b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rtl w:val="0"/>
                <w:lang w:val="es-ES_tradnl"/>
              </w:rPr>
              <w:t>s importantes de acuerdo al enfoque de la materia y lo que te marca el plan de estudios)</w:t>
            </w:r>
          </w:p>
        </w:tc>
        <w:tc>
          <w:tcPr>
            <w:tcW w:type="dxa" w:w="3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MATERIAL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s-ES_tradnl"/>
              </w:rPr>
              <w:t>(descripci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n, caracter</w:t>
            </w:r>
            <w:r>
              <w:rPr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rtl w:val="0"/>
                <w:lang w:val="es-ES_tradnl"/>
              </w:rPr>
              <w:t>sticas)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USO PEDAG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GICO</w:t>
            </w:r>
          </w:p>
        </w:tc>
      </w:tr>
      <w:tr>
        <w:tblPrEx>
          <w:shd w:val="clear" w:color="auto" w:fill="ced7e7"/>
        </w:tblPrEx>
        <w:trPr>
          <w:trHeight w:val="481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Resolver problemas de manera aut</w:t>
            </w:r>
            <w:r>
              <w:rPr>
                <w:rFonts w:ascii="Trebuchet MS" w:hAnsi="Trebuchet MS" w:hint="default"/>
                <w:sz w:val="24"/>
                <w:szCs w:val="24"/>
                <w:rtl w:val="0"/>
              </w:rPr>
              <w:t>ó</w:t>
            </w:r>
            <w:r>
              <w:rPr>
                <w:rFonts w:ascii="Trebuchet MS" w:hAnsi="Trebuchet MS"/>
                <w:sz w:val="24"/>
                <w:szCs w:val="24"/>
                <w:rtl w:val="0"/>
              </w:rPr>
              <w:t>noma</w:t>
            </w:r>
          </w:p>
        </w:tc>
        <w:tc>
          <w:tcPr>
            <w:tcW w:type="dxa" w:w="3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Libreta, pizarr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n, libro, plataforma Santillana y medios electr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nicos.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Mediante el uso pizarr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y libreta se les da a los alumnos la explicaci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de cada uno de los temas. Posteriormente ellos son encargados de resolver aut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nomamente problemas propuestos por el profesor y en sus libros. El uso de medios electr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nicos y de la plataforma Santillana sirve como ayuda extra en caso de que necesiten revisar nuevamente informaci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n. En la plataforma se suben ejercicios similares a los trabajados en clase para que los alumnos los resuelvan de forma aut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noma.</w:t>
            </w:r>
          </w:p>
        </w:tc>
      </w:tr>
      <w:tr>
        <w:tblPrEx>
          <w:shd w:val="clear" w:color="auto" w:fill="ced7e7"/>
        </w:tblPrEx>
        <w:trPr>
          <w:trHeight w:val="457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Comunicar informaci</w:t>
            </w:r>
            <w:r>
              <w:rPr>
                <w:rFonts w:ascii="Trebuchet MS" w:hAnsi="Trebuchet MS" w:hint="default"/>
                <w:sz w:val="24"/>
                <w:szCs w:val="24"/>
                <w:rtl w:val="0"/>
              </w:rPr>
              <w:t>ó</w:t>
            </w:r>
            <w:r>
              <w:rPr>
                <w:rFonts w:ascii="Trebuchet MS" w:hAnsi="Trebuchet MS"/>
                <w:sz w:val="24"/>
                <w:szCs w:val="24"/>
                <w:rtl w:val="0"/>
              </w:rPr>
              <w:t>n matem</w:t>
            </w:r>
            <w:r>
              <w:rPr>
                <w:rFonts w:ascii="Trebuchet MS" w:hAnsi="Trebuchet MS" w:hint="default"/>
                <w:sz w:val="24"/>
                <w:szCs w:val="24"/>
                <w:rtl w:val="0"/>
              </w:rPr>
              <w:t>á</w:t>
            </w:r>
            <w:r>
              <w:rPr>
                <w:rFonts w:ascii="Trebuchet MS" w:hAnsi="Trebuchet MS"/>
                <w:sz w:val="24"/>
                <w:szCs w:val="24"/>
                <w:rtl w:val="0"/>
              </w:rPr>
              <w:t>tica</w:t>
            </w:r>
          </w:p>
        </w:tc>
        <w:tc>
          <w:tcPr>
            <w:tcW w:type="dxa" w:w="3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Libreta y libro, aprendizaje colaborativo y tutor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entre pares.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Mediante el uso de libreta y libro los alumnos comunican informaci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matem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tica con el profesor y con sus compa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eros leyendo y comprendiendo conceptos nuevos y resolviendo problemas juntos. Mediante la tutor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entre pares se logra un mejor desempe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en el grupo; los alumnos con mejor desempe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 en cada tema ayudan a aquellos que lo necesitan 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 con supervisi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y explicaci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conjunta por parte del docente.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Validar procedimientos y resultados</w:t>
            </w:r>
          </w:p>
        </w:tc>
        <w:tc>
          <w:tcPr>
            <w:tcW w:type="dxa" w:w="3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Libreta, pizarr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n, libro, medios electr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nicos y aprendizaje colaborativo.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Usando los materiales anteriormente mencionados los alumnos revisan si sus procedimientos son correctos partiendo del razonamiento acerca de si su planteamiento y resultado tienen sentido respeto al problema a resolver. Los resultados son comparados con sus compa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eros revisando as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su validez, comparado procedimientos y debatiendo sobre los resultados.</w:t>
            </w:r>
          </w:p>
        </w:tc>
      </w:tr>
      <w:tr>
        <w:tblPrEx>
          <w:shd w:val="clear" w:color="auto" w:fill="ced7e7"/>
        </w:tblPrEx>
        <w:trPr>
          <w:trHeight w:val="337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Utilizar las t</w:t>
            </w:r>
            <w:r>
              <w:rPr>
                <w:rFonts w:ascii="Trebuchet MS" w:hAnsi="Trebuchet MS" w:hint="default"/>
                <w:sz w:val="24"/>
                <w:szCs w:val="24"/>
                <w:rtl w:val="0"/>
              </w:rPr>
              <w:t>é</w:t>
            </w:r>
            <w:r>
              <w:rPr>
                <w:rFonts w:ascii="Trebuchet MS" w:hAnsi="Trebuchet MS"/>
                <w:sz w:val="24"/>
                <w:szCs w:val="24"/>
                <w:rtl w:val="0"/>
              </w:rPr>
              <w:t>cnicas eficientemente</w:t>
            </w:r>
          </w:p>
        </w:tc>
        <w:tc>
          <w:tcPr>
            <w:tcW w:type="dxa" w:w="3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Libreta, pizarr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n, libro, medios electr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nicos y plataforma Santillana.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 alumno aprende 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cnicas y metodolog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as para la resoluci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 de problemas. Estas 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cnicas son empleadas en ejemplos cotidianos que los rodean. En la plataforma Santillana se suben ejemplos pr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cticos sobre 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cnicas empleadas para resolver operaciones o problemas que pueden ser aplicados de forma cotidiana.</w:t>
            </w:r>
          </w:p>
        </w:tc>
      </w:tr>
    </w:tbl>
    <w:p>
      <w:pPr>
        <w:pStyle w:val="Body"/>
        <w:widowControl w:val="0"/>
        <w:spacing w:line="240" w:lineRule="auto"/>
        <w:jc w:val="both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rebuchet MS" w:hAnsi="Trebuchet MS"/>
          <w:sz w:val="24"/>
          <w:szCs w:val="24"/>
          <w:rtl w:val="0"/>
        </w:rPr>
        <w:t xml:space="preserve">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