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Relatório Técnico - Desafio BTG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Autor: Reinaldo Tenório dos Santos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Projeto: Processamento de Pedidos com Microsserviço + API REST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Repositórios: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https://github.com/reinaldots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https://hub.docker.com/r/reinaldots/desafiobtg-api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https://hub.docker.cddom/r/reinaldots/desafiobtg-ms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Estrutura da Solução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solução é composta por dois serviços principais:</w:t>
        <w:br w:type="textWrapping"/>
        <w:br w:type="textWrapping"/>
        <w:t xml:space="preserve">1. Microsserviço (DesafioBTG.MS)</w:t>
        <w:br w:type="textWrapping"/>
        <w:t xml:space="preserve">   - Consome pedidos da fila RabbitMQ e armazena no MongoDB.</w:t>
        <w:br w:type="textWrapping"/>
        <w:t xml:space="preserve">   - Executado via console.</w:t>
        <w:br w:type="textWrapping"/>
        <w:br w:type="textWrapping"/>
        <w:t xml:space="preserve">2. API REST (DesafioBTG.API)</w:t>
        <w:br w:type="textWrapping"/>
        <w:t xml:space="preserve">   - Expõe endpoints para consulta de pedidos.</w:t>
        <w:br w:type="textWrapping"/>
        <w:t xml:space="preserve">   - Se comunica com MongoDB para leitura.</w:t>
        <w:br w:type="textWrapping"/>
        <w:t xml:space="preserve">   - Acessível via Swagger UI.</w:t>
        <w:br w:type="textWrapping"/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Tecnologias e Ferramentas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Finalidade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Visual Studio 2022 / .NET C# 8.0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da API e microsserviço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RabbitMQ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Comunicação assíncrona via fila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Persistência dos dados dos pedidos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Container de serviços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Docker Compose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Orquestração local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Swagger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Documentação da API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Git + GitHub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Versionamento e hospedagem do código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3. Funcionalidades Implementadas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- Microsserviço consome mensagens da fila 'pedidos' no RabbitMQ.</w:t>
        <w:br w:type="textWrapping"/>
        <w:t xml:space="preserve">- Dados são salvos corretamente no MongoDB.</w:t>
        <w:br w:type="textWrapping"/>
        <w:t xml:space="preserve">- API REST com os seguintes endpoints:</w:t>
        <w:br w:type="textWrapping"/>
        <w:t xml:space="preserve">  - GET /api</w:t>
        <w:br w:type="textWrapping"/>
        <w:t xml:space="preserve">  - POST /api/pedidos</w:t>
        <w:br w:type="textWrapping"/>
        <w:t xml:space="preserve">  - GET /api/pedidos/{codigo_cliente}</w:t>
        <w:br w:type="textWrapping"/>
        <w:t xml:space="preserve">  - GET /api/pedidos/{codigo_cliente}/quantidade</w:t>
        <w:br w:type="textWrapping"/>
        <w:t xml:space="preserve">  - GET /api/pedidos/{codigo_pedido}/valortotal</w:t>
        <w:br w:type="textWrapping"/>
        <w:t xml:space="preserve">- Validações básicas e mensagens de erro amigáveis.</w:t>
        <w:br w:type="textWrapping"/>
        <w:t xml:space="preserve">- Testes funcionais documentados.</w:t>
        <w:br w:type="textWrapping"/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4. Validação e Testes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- Testes manuais realizados com:</w:t>
        <w:br w:type="textWrapping"/>
        <w:t xml:space="preserve">  - Swagger UI</w:t>
        <w:br w:type="textWrapping"/>
        <w:t xml:space="preserve">  - RabbitMQ (mensagens)</w:t>
        <w:br w:type="textWrapping"/>
        <w:t xml:space="preserve">  - MongoDB Compass</w:t>
        <w:br w:type="textWrapping"/>
        <w:t xml:space="preserve">- Testes negativos incluídos (ex: JSON inválido, cliente inexistente)</w:t>
        <w:br w:type="textWrapping"/>
        <w:t xml:space="preserve">- Plano de testes documentado em 'TestesFuncionais.docx'</w:t>
        <w:br w:type="textWrapping"/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5. Organização do Repositório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Pasta / Arquivo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Conteúdo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solution/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Código-fonte da API e microsserviço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docker-compose.yml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Configuração dos serviços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README.md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Documentação geral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PLANO_DE_TRABALHO.md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Plano de trabalho com as atividades estimadas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TestesFuncionais.docx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Plano de testes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RelatorioTecnico.docx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Relatório técnico (este documento)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6. Diagramas da Solução</w:t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6.1 Diagrama de Arquitetura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Representa a comunicação entre API, RabbitMQ, Microsserviço e MongoDB.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491038" cy="36840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684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6.2 Diagrama de Implantação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671763" cy="382860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3828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6.3 Modelagem da Base de Dados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Modelo de documento MongoDB armazenado no collection de pedidos.</w:t>
        <w:br w:type="textWrapping"/>
        <w:t xml:space="preserve">{</w:t>
        <w:br w:type="textWrapping"/>
        <w:t xml:space="preserve">  "codigoPedido": 1001,</w:t>
        <w:br w:type="textWrapping"/>
        <w:t xml:space="preserve">  "codigoCliente": 1,</w:t>
        <w:br w:type="textWrapping"/>
        <w:t xml:space="preserve">  "itens": [</w:t>
        <w:br w:type="textWrapping"/>
        <w:t xml:space="preserve">    { "produto": "lápis", "quantidade": 100, "preco": 1.10 },</w:t>
        <w:br w:type="textWrapping"/>
        <w:t xml:space="preserve">    { "produto": "caderno", "quantidade": 10, "preco": 1.00 }</w:t>
        <w:br w:type="textWrapping"/>
        <w:t xml:space="preserve">  ]</w:t>
        <w:br w:type="textWrapping"/>
        <w:t xml:space="preserve">}</w:t>
        <w:br w:type="textWrapping"/>
      </w:r>
    </w:p>
    <w:tbl>
      <w:tblPr>
        <w:tblStyle w:val="Table3"/>
        <w:tblW w:w="92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55"/>
        <w:gridCol w:w="1380"/>
        <w:gridCol w:w="1605"/>
        <w:gridCol w:w="4830"/>
        <w:tblGridChange w:id="0">
          <w:tblGrid>
            <w:gridCol w:w="1455"/>
            <w:gridCol w:w="1380"/>
            <w:gridCol w:w="1605"/>
            <w:gridCol w:w="48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Obrigatório?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_id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ObjectId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 (padrão)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único do documento, gerado automaticamente pelo MongoDB.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codigoPedido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pedido.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codigoCliente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do cliente que realizou o pedido.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itens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Array of Documents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 contendo os itens que compõem o pedido.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id w:val="-1754194169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↳ produto</w:t>
                </w:r>
              </w:sdtContent>
            </w:sdt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produto.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id w:val="1092511131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↳ quantidade</w:t>
                </w:r>
              </w:sdtContent>
            </w:sdt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 do produto.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id w:val="-1653406659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↳ preco</w:t>
                </w:r>
              </w:sdtContent>
            </w:sdt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unitário do produto.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6.4 Diagrama de Infraestrutura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Infraestrutura local com Docker, sem dependências externas.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3343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7. Plano de Trabalho (previsto / realizado)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plano de trabalho foi seguido conforme o previsto, sem desvios relevantes. A divisão inicial das tarefas entre estruturação da solução, desenvolvimento dos componentes (API e microsserviço), testes funcionais e documentação mostrou-se adequada ao escopo do desafio.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resultado foi possível pelos seguintes motivos: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Clareza nos requisitos e objetivos do desafio desde o início.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Organização antecipada da estrutura do projeto, o que facilitou a divisão lógica das etapas.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Implementação de componentes simples, objetivos e alinhados diretamente ao escopo do desafio.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Utilização de ferramentas como Docker, Postman e Swagger que aceleraram a criação do ambiente e os testes.</w:t>
      </w:r>
    </w:p>
    <w:p w:rsidR="00000000" w:rsidDel="00000000" w:rsidP="00000000" w:rsidRDefault="00000000" w:rsidRPr="00000000" w14:paraId="00000060">
      <w:pPr>
        <w:pStyle w:val="Heading1"/>
        <w:rPr/>
      </w:pPr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br w:type="textWrapping"/>
        <w:t xml:space="preserve">O projeto foi desenvolvido com foco em clareza, organização e uso de boas práticas. A arquitetura simula um cenário moderno de microsserviços e mensageria. Toda a solução está documentada e validada com testes funcionais.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hyperlink" Target="https://hub.docker.cddom/r/reinaldots/desafiobtg-m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reinaldots" TargetMode="External"/><Relationship Id="rId8" Type="http://schemas.openxmlformats.org/officeDocument/2006/relationships/hyperlink" Target="https://hub.docker.com/r/reinaldots/desafiobtg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cuHCzKDwwtGzQuM6aS94jzQ3fg==">CgMxLjAaJAoBMBIfCh0IB0IZCgVBcmlhbBIQQXJpYWwgVW5pY29kZSBNUxokCgExEh8KHQgHQhkKBUFyaWFsEhBBcmlhbCBVbmljb2RlIE1TGiQKATISHwodCAdCGQoFQXJpYWwSEEFyaWFsIFVuaWNvZGUgTVM4AHIhMTJselBldGFrOVBQZE5yRHFvakZESFZubU1NblRvcWVP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