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40"/>
        <w:jc w:val="center"/>
      </w:pPr>
      <w:r>
        <w:rPr>
          <w:rFonts w:ascii="Times New Roman" w:hAnsi="Times New Roman"/>
          <w:b/>
          <w:sz w:val="22"/>
        </w:rPr>
        <w:t>IndabaX Congo 2026 · ACPE</w:t>
      </w:r>
    </w:p>
    <w:p>
      <w:pPr>
        <w:spacing w:line="240" w:lineRule="auto" w:after="40"/>
        <w:jc w:val="center"/>
      </w:pPr>
      <w:r>
        <w:rPr>
          <w:rFonts w:ascii="Times New Roman" w:hAnsi="Times New Roman"/>
          <w:b/>
          <w:sz w:val="30"/>
        </w:rPr>
        <w:t>Système intelligent d'appariement entre demandeurs d'emploi et offres d'emploi</w:t>
      </w:r>
    </w:p>
    <w:p>
      <w:pPr>
        <w:spacing w:line="240" w:lineRule="auto" w:after="160"/>
        <w:jc w:val="center"/>
      </w:pPr>
      <w:r>
        <w:rPr>
          <w:rFonts w:ascii="Times New Roman" w:hAnsi="Times New Roman"/>
          <w:i/>
          <w:sz w:val="21"/>
        </w:rPr>
        <w:t>Rapport méthodologique — Équipe DataUsis (Reine, Daïna, Emmanuelle, Angélica)</w:t>
      </w:r>
    </w:p>
    <w:p>
      <w:pPr>
        <w:pStyle w:val="Heading1"/>
        <w:spacing w:before="160" w:after="80" w:line="240" w:lineRule="auto"/>
      </w:pPr>
      <w:r>
        <w:rPr>
          <w:rFonts w:ascii="Times New Roman" w:hAnsi="Times New Roman"/>
          <w:b/>
          <w:color w:val="1F5C3F"/>
          <w:sz w:val="28"/>
        </w:rPr>
        <w:t>1. Contexte et problématique</w:t>
      </w:r>
    </w:p>
    <w:p>
      <w:pPr>
        <w:spacing w:after="120" w:line="360" w:lineRule="auto"/>
      </w:pPr>
      <w:r>
        <w:rPr>
          <w:rFonts w:ascii="Times New Roman" w:hAnsi="Times New Roman"/>
          <w:b w:val="0"/>
          <w:i w:val="0"/>
          <w:sz w:val="24"/>
        </w:rPr>
        <w:t>L'Agence Congolaise pour l'Emploi (ACPE) reçoit chaque année des milliers d'offres d'emploi et des dizaines de milliers de profils de demandeurs, mais l'appariement entre les deux reste aujourd'hui manuel, chronophage et peu traçable. L'objectif poursuivi est la conception d'un moteur de recommandation Top-K produisant, pour chaque candidat, un classement ordonné d'offres pertinentes accompagné d'un score explicable, condition posée par le jury pour qu'une solution soit jugée exploitable par les conseillers de l'Agence.</w:t>
      </w:r>
    </w:p>
    <w:p>
      <w:pPr>
        <w:spacing w:after="120" w:line="360" w:lineRule="auto"/>
      </w:pPr>
      <w:r>
        <w:rPr>
          <w:rFonts w:ascii="Times New Roman" w:hAnsi="Times New Roman"/>
          <w:b w:val="0"/>
          <w:i w:val="0"/>
          <w:sz w:val="24"/>
        </w:rPr>
        <w:t>Un audit intégral des quatre jeux de données fournis a été réalisé avant toute décision de modélisation, afin d'écarter tout risque de corruption silencieuse des métriques d'évaluation.</w:t>
      </w:r>
    </w:p>
    <w:p>
      <w:pPr>
        <w:pStyle w:val="Heading1"/>
        <w:spacing w:before="160" w:after="80" w:line="240" w:lineRule="auto"/>
      </w:pPr>
      <w:r>
        <w:rPr>
          <w:rFonts w:ascii="Times New Roman" w:hAnsi="Times New Roman"/>
          <w:b/>
          <w:color w:val="1F5C3F"/>
          <w:sz w:val="28"/>
        </w:rPr>
        <w:t>2. Audit de la qualité des données</w:t>
      </w:r>
    </w:p>
    <w:p>
      <w:pPr>
        <w:spacing w:after="80" w:line="360" w:lineRule="auto"/>
      </w:pPr>
      <w:r>
        <w:rPr>
          <w:rFonts w:ascii="Times New Roman" w:hAnsi="Times New Roman"/>
          <w:b w:val="0"/>
          <w:i w:val="0"/>
          <w:sz w:val="24"/>
        </w:rPr>
        <w:t>Quatre fichiers ont été analysés : Offres_ACPE.xlsx (2 535 offres), Offres_ACPE_Extensions.xlsx (143 offres à texte libre), Demandeurs_.xlsx (41 298 candidats) et Appariement_Demandeurs_Offres.xlsx (vérité terrain, 3 offres pertinentes par candidat). Sept anomalies structurelles ont été identifiées et corrigées.</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color="auto" w:fill="1F5C3F"/>
          </w:tcPr>
          <w:p>
            <w:pPr>
              <w:spacing w:line="240" w:lineRule="auto" w:after="20"/>
            </w:pPr>
            <w:r/>
            <w:r>
              <w:rPr>
                <w:rFonts w:ascii="Times New Roman" w:hAnsi="Times New Roman"/>
                <w:b/>
                <w:color w:val="FFFFFF"/>
                <w:sz w:val="19"/>
              </w:rPr>
              <w:t>Anomalie</w:t>
            </w:r>
          </w:p>
        </w:tc>
        <w:tc>
          <w:tcPr>
            <w:tcW w:type="dxa" w:w="3628"/>
            <w:shd w:val="clear" w:color="auto" w:fill="1F5C3F"/>
          </w:tcPr>
          <w:p>
            <w:pPr>
              <w:spacing w:line="240" w:lineRule="auto" w:after="20"/>
            </w:pPr>
            <w:r/>
            <w:r>
              <w:rPr>
                <w:rFonts w:ascii="Times New Roman" w:hAnsi="Times New Roman"/>
                <w:b/>
                <w:color w:val="FFFFFF"/>
                <w:sz w:val="19"/>
              </w:rPr>
              <w:t>Constat</w:t>
            </w:r>
          </w:p>
        </w:tc>
        <w:tc>
          <w:tcPr>
            <w:tcW w:type="dxa" w:w="3685"/>
            <w:shd w:val="clear" w:color="auto" w:fill="1F5C3F"/>
          </w:tcPr>
          <w:p>
            <w:pPr>
              <w:spacing w:line="240" w:lineRule="auto" w:after="20"/>
            </w:pPr>
            <w:r/>
            <w:r>
              <w:rPr>
                <w:rFonts w:ascii="Times New Roman" w:hAnsi="Times New Roman"/>
                <w:b/>
                <w:color w:val="FFFFFF"/>
                <w:sz w:val="19"/>
              </w:rPr>
              <w:t>Décision</w:t>
            </w:r>
          </w:p>
        </w:tc>
      </w:tr>
      <w:tr>
        <w:tc>
          <w:tcPr>
            <w:tcW w:type="dxa" w:w="2041"/>
          </w:tcPr>
          <w:p>
            <w:pPr>
              <w:spacing w:line="240" w:lineRule="auto" w:after="20"/>
            </w:pPr>
            <w:r/>
            <w:r>
              <w:rPr>
                <w:rFonts w:ascii="Times New Roman" w:hAnsi="Times New Roman"/>
                <w:sz w:val="19"/>
              </w:rPr>
              <w:t>Référence d'offre dupliquée</w:t>
            </w:r>
          </w:p>
        </w:tc>
        <w:tc>
          <w:tcPr>
            <w:tcW w:type="dxa" w:w="3628"/>
          </w:tcPr>
          <w:p>
            <w:pPr>
              <w:spacing w:line="240" w:lineRule="auto" w:after="20"/>
            </w:pPr>
            <w:r/>
            <w:r>
              <w:rPr>
                <w:rFonts w:ascii="Times New Roman" w:hAnsi="Times New Roman"/>
                <w:sz w:val="19"/>
              </w:rPr>
              <w:t>JOB250002109 utilisée par 5 lignes distinctes (Poste 1 à 5)</w:t>
            </w:r>
          </w:p>
        </w:tc>
        <w:tc>
          <w:tcPr>
            <w:tcW w:type="dxa" w:w="3685"/>
          </w:tcPr>
          <w:p>
            <w:pPr>
              <w:spacing w:line="240" w:lineRule="auto" w:after="20"/>
            </w:pPr>
            <w:r/>
            <w:r>
              <w:rPr>
                <w:rFonts w:ascii="Times New Roman" w:hAnsi="Times New Roman"/>
                <w:sz w:val="19"/>
              </w:rPr>
              <w:t>Désambiguïsation par la clé composite Référence + Poste</w:t>
            </w:r>
          </w:p>
        </w:tc>
      </w:tr>
      <w:tr>
        <w:tc>
          <w:tcPr>
            <w:tcW w:type="dxa" w:w="2041"/>
            <w:shd w:val="clear" w:color="auto" w:fill="EAF2EE"/>
          </w:tcPr>
          <w:p>
            <w:pPr>
              <w:spacing w:line="240" w:lineRule="auto" w:after="20"/>
            </w:pPr>
            <w:r/>
            <w:r>
              <w:rPr>
                <w:rFonts w:ascii="Times New Roman" w:hAnsi="Times New Roman"/>
                <w:sz w:val="19"/>
              </w:rPr>
              <w:t>Doublons de Matricule</w:t>
            </w:r>
          </w:p>
        </w:tc>
        <w:tc>
          <w:tcPr>
            <w:tcW w:type="dxa" w:w="3628"/>
            <w:shd w:val="clear" w:color="auto" w:fill="EAF2EE"/>
          </w:tcPr>
          <w:p>
            <w:pPr>
              <w:spacing w:line="240" w:lineRule="auto" w:after="20"/>
            </w:pPr>
            <w:r/>
            <w:r>
              <w:rPr>
                <w:rFonts w:ascii="Times New Roman" w:hAnsi="Times New Roman"/>
                <w:sz w:val="19"/>
              </w:rPr>
              <w:t>13 Matricules partagés par 2 individus distincts (26 lignes)</w:t>
            </w:r>
          </w:p>
        </w:tc>
        <w:tc>
          <w:tcPr>
            <w:tcW w:type="dxa" w:w="3685"/>
            <w:shd w:val="clear" w:color="auto" w:fill="EAF2EE"/>
          </w:tcPr>
          <w:p>
            <w:pPr>
              <w:spacing w:line="240" w:lineRule="auto" w:after="20"/>
            </w:pPr>
            <w:r/>
            <w:r>
              <w:rPr>
                <w:rFonts w:ascii="Times New Roman" w:hAnsi="Times New Roman"/>
                <w:sz w:val="19"/>
              </w:rPr>
              <w:t>Clé composite Matricule + suffixe de ligne</w:t>
            </w:r>
          </w:p>
        </w:tc>
      </w:tr>
      <w:tr>
        <w:tc>
          <w:tcPr>
            <w:tcW w:type="dxa" w:w="2041"/>
          </w:tcPr>
          <w:p>
            <w:pPr>
              <w:spacing w:line="240" w:lineRule="auto" w:after="20"/>
            </w:pPr>
            <w:r/>
            <w:r>
              <w:rPr>
                <w:rFonts w:ascii="Times New Roman" w:hAnsi="Times New Roman"/>
                <w:sz w:val="19"/>
              </w:rPr>
              <w:t>Colonne vérité terrain vide</w:t>
            </w:r>
          </w:p>
        </w:tc>
        <w:tc>
          <w:tcPr>
            <w:tcW w:type="dxa" w:w="3628"/>
          </w:tcPr>
          <w:p>
            <w:pPr>
              <w:spacing w:line="240" w:lineRule="auto" w:after="20"/>
            </w:pPr>
            <w:r/>
            <w:r>
              <w:rPr>
                <w:rFonts w:ascii="Times New Roman" w:hAnsi="Times New Roman"/>
                <w:sz w:val="19"/>
              </w:rPr>
              <w:t>offre_pertinente nulle à 100 %</w:t>
            </w:r>
          </w:p>
        </w:tc>
        <w:tc>
          <w:tcPr>
            <w:tcW w:type="dxa" w:w="3685"/>
          </w:tcPr>
          <w:p>
            <w:pPr>
              <w:spacing w:line="240" w:lineRule="auto" w:after="20"/>
            </w:pPr>
            <w:r/>
            <w:r>
              <w:rPr>
                <w:rFonts w:ascii="Times New Roman" w:hAnsi="Times New Roman"/>
                <w:sz w:val="19"/>
              </w:rPr>
              <w:t>Ground truth utilisé exclusivement depuis Appariement_Demandeurs_Offres</w:t>
            </w:r>
          </w:p>
        </w:tc>
      </w:tr>
      <w:tr>
        <w:tc>
          <w:tcPr>
            <w:tcW w:type="dxa" w:w="2041"/>
            <w:shd w:val="clear" w:color="auto" w:fill="EAF2EE"/>
          </w:tcPr>
          <w:p>
            <w:pPr>
              <w:spacing w:line="240" w:lineRule="auto" w:after="20"/>
            </w:pPr>
            <w:r/>
            <w:r>
              <w:rPr>
                <w:rFonts w:ascii="Times New Roman" w:hAnsi="Times New Roman"/>
                <w:sz w:val="19"/>
              </w:rPr>
              <w:t>Secteur d'activité manquant</w:t>
            </w:r>
          </w:p>
        </w:tc>
        <w:tc>
          <w:tcPr>
            <w:tcW w:type="dxa" w:w="3628"/>
            <w:shd w:val="clear" w:color="auto" w:fill="EAF2EE"/>
          </w:tcPr>
          <w:p>
            <w:pPr>
              <w:spacing w:line="240" w:lineRule="auto" w:after="20"/>
            </w:pPr>
            <w:r/>
            <w:r>
              <w:rPr>
                <w:rFonts w:ascii="Times New Roman" w:hAnsi="Times New Roman"/>
                <w:sz w:val="19"/>
              </w:rPr>
              <w:t>9,6 % de valeurs manquantes (3 984/41 298)</w:t>
            </w:r>
          </w:p>
        </w:tc>
        <w:tc>
          <w:tcPr>
            <w:tcW w:type="dxa" w:w="3685"/>
            <w:shd w:val="clear" w:color="auto" w:fill="EAF2EE"/>
          </w:tcPr>
          <w:p>
            <w:pPr>
              <w:spacing w:line="240" w:lineRule="auto" w:after="20"/>
            </w:pPr>
            <w:r/>
            <w:r>
              <w:rPr>
                <w:rFonts w:ascii="Times New Roman" w:hAnsi="Times New Roman"/>
                <w:sz w:val="19"/>
              </w:rPr>
              <w:t>Catégorie explicite « Non renseigné », aucune suppression de ligne</w:t>
            </w:r>
          </w:p>
        </w:tc>
      </w:tr>
      <w:tr>
        <w:tc>
          <w:tcPr>
            <w:tcW w:type="dxa" w:w="2041"/>
          </w:tcPr>
          <w:p>
            <w:pPr>
              <w:spacing w:line="240" w:lineRule="auto" w:after="20"/>
            </w:pPr>
            <w:r/>
            <w:r>
              <w:rPr>
                <w:rFonts w:ascii="Times New Roman" w:hAnsi="Times New Roman"/>
                <w:sz w:val="19"/>
              </w:rPr>
              <w:t>Mobilité quasi inexploitable</w:t>
            </w:r>
          </w:p>
        </w:tc>
        <w:tc>
          <w:tcPr>
            <w:tcW w:type="dxa" w:w="3628"/>
          </w:tcPr>
          <w:p>
            <w:pPr>
              <w:spacing w:line="240" w:lineRule="auto" w:after="20"/>
            </w:pPr>
            <w:r/>
            <w:r>
              <w:rPr>
                <w:rFonts w:ascii="Times New Roman" w:hAnsi="Times New Roman"/>
                <w:sz w:val="19"/>
              </w:rPr>
              <w:t>« Non déclaré » pour 90,6 % des candidats</w:t>
            </w:r>
          </w:p>
        </w:tc>
        <w:tc>
          <w:tcPr>
            <w:tcW w:type="dxa" w:w="3685"/>
          </w:tcPr>
          <w:p>
            <w:pPr>
              <w:spacing w:line="240" w:lineRule="auto" w:after="20"/>
            </w:pPr>
            <w:r/>
            <w:r>
              <w:rPr>
                <w:rFonts w:ascii="Times New Roman" w:hAnsi="Times New Roman"/>
                <w:sz w:val="19"/>
              </w:rPr>
              <w:t>Département déduit du Matricule utilisé en repli géographique</w:t>
            </w:r>
          </w:p>
        </w:tc>
      </w:tr>
      <w:tr>
        <w:tc>
          <w:tcPr>
            <w:tcW w:type="dxa" w:w="2041"/>
            <w:shd w:val="clear" w:color="auto" w:fill="EAF2EE"/>
          </w:tcPr>
          <w:p>
            <w:pPr>
              <w:spacing w:line="240" w:lineRule="auto" w:after="20"/>
            </w:pPr>
            <w:r/>
            <w:r>
              <w:rPr>
                <w:rFonts w:ascii="Times New Roman" w:hAnsi="Times New Roman"/>
                <w:sz w:val="19"/>
              </w:rPr>
              <w:t>Champ sectoriel ambigu</w:t>
            </w:r>
          </w:p>
        </w:tc>
        <w:tc>
          <w:tcPr>
            <w:tcW w:type="dxa" w:w="3628"/>
            <w:shd w:val="clear" w:color="auto" w:fill="EAF2EE"/>
          </w:tcPr>
          <w:p>
            <w:pPr>
              <w:spacing w:line="240" w:lineRule="auto" w:after="20"/>
            </w:pPr>
            <w:r/>
            <w:r>
              <w:rPr>
                <w:rFonts w:ascii="Times New Roman" w:hAnsi="Times New Roman"/>
                <w:sz w:val="19"/>
              </w:rPr>
              <w:t>« Secteur demandé » ne correspond à l'offre que pour 6,2 % des cas, contre 86 % pour « secteur_metier »</w:t>
            </w:r>
          </w:p>
        </w:tc>
        <w:tc>
          <w:tcPr>
            <w:tcW w:type="dxa" w:w="3685"/>
            <w:shd w:val="clear" w:color="auto" w:fill="EAF2EE"/>
          </w:tcPr>
          <w:p>
            <w:pPr>
              <w:spacing w:line="240" w:lineRule="auto" w:after="20"/>
            </w:pPr>
            <w:r/>
            <w:r>
              <w:rPr>
                <w:rFonts w:ascii="Times New Roman" w:hAnsi="Times New Roman"/>
                <w:sz w:val="19"/>
              </w:rPr>
              <w:t>Filtrage et score fondés sur secteur_metier</w:t>
            </w:r>
          </w:p>
        </w:tc>
      </w:tr>
      <w:tr>
        <w:tc>
          <w:tcPr>
            <w:tcW w:type="dxa" w:w="2041"/>
          </w:tcPr>
          <w:p>
            <w:pPr>
              <w:spacing w:line="240" w:lineRule="auto" w:after="20"/>
            </w:pPr>
            <w:r/>
            <w:r>
              <w:rPr>
                <w:rFonts w:ascii="Times New Roman" w:hAnsi="Times New Roman"/>
                <w:sz w:val="19"/>
              </w:rPr>
              <w:t>Extensions et fichier principal</w:t>
            </w:r>
          </w:p>
        </w:tc>
        <w:tc>
          <w:tcPr>
            <w:tcW w:type="dxa" w:w="3628"/>
          </w:tcPr>
          <w:p>
            <w:pPr>
              <w:spacing w:line="240" w:lineRule="auto" w:after="20"/>
            </w:pPr>
            <w:r/>
            <w:r>
              <w:rPr>
                <w:rFonts w:ascii="Times New Roman" w:hAnsi="Times New Roman"/>
                <w:sz w:val="19"/>
              </w:rPr>
              <w:t>Les 143 références sont déjà présentes dans le fichier principal</w:t>
            </w:r>
          </w:p>
        </w:tc>
        <w:tc>
          <w:tcPr>
            <w:tcW w:type="dxa" w:w="3685"/>
          </w:tcPr>
          <w:p>
            <w:pPr>
              <w:spacing w:line="240" w:lineRule="auto" w:after="20"/>
            </w:pPr>
            <w:r/>
            <w:r>
              <w:rPr>
                <w:rFonts w:ascii="Times New Roman" w:hAnsi="Times New Roman"/>
                <w:sz w:val="19"/>
              </w:rPr>
              <w:t>Jointure gauche sur la référence, jamais de concaténation</w:t>
            </w:r>
          </w:p>
        </w:tc>
      </w:tr>
    </w:tbl>
    <w:p>
      <w:pPr>
        <w:spacing w:after="80" w:line="240" w:lineRule="auto"/>
      </w:pPr>
    </w:p>
    <w:p>
      <w:pPr>
        <w:spacing w:after="80" w:line="360" w:lineRule="auto"/>
      </w:pPr>
      <w:r>
        <w:rPr>
          <w:rFonts w:ascii="Times New Roman" w:hAnsi="Times New Roman"/>
          <w:b w:val="0"/>
          <w:i w:val="0"/>
          <w:sz w:val="24"/>
        </w:rPr>
        <w:t>Une découverte complémentaire a permis de résoudre l'absence de champ de localisation candidat : le préfixe du Matricule (par exemple PPBZV, PPPNR, PPKOU) encode le département d'origine et recoupe les valeurs du champ Lieu des offres, pour l'ensemble des douze départements du Congo.</w:t>
      </w:r>
    </w:p>
    <w:p>
      <w:pPr>
        <w:pStyle w:val="Heading1"/>
        <w:spacing w:before="160" w:after="80" w:line="240" w:lineRule="auto"/>
      </w:pPr>
      <w:r>
        <w:rPr>
          <w:rFonts w:ascii="Times New Roman" w:hAnsi="Times New Roman"/>
          <w:b/>
          <w:color w:val="1F5C3F"/>
          <w:sz w:val="28"/>
        </w:rPr>
        <w:t>3. Architecture du moteur d'appariement</w:t>
      </w:r>
    </w:p>
    <w:p>
      <w:pPr>
        <w:spacing w:after="120" w:line="360" w:lineRule="auto"/>
      </w:pPr>
      <w:r>
        <w:rPr>
          <w:rFonts w:ascii="Times New Roman" w:hAnsi="Times New Roman"/>
          <w:b w:val="0"/>
          <w:i w:val="0"/>
          <w:sz w:val="24"/>
        </w:rPr>
        <w:t>Une architecture hybride à trois couches a été retenue afin de répondre à l'exigence d'explicabilité du jury : le score est décomposé en sous-scores interprétables dès la conception, plutôt que d'appliquer un outil d'explicabilité a posteriori sur un modèle boîte noire.</w:t>
      </w:r>
    </w:p>
    <w:p>
      <w:pPr>
        <w:pStyle w:val="ListBullet"/>
        <w:spacing w:after="40" w:line="360" w:lineRule="auto"/>
      </w:pPr>
      <w:r>
        <w:rPr>
          <w:rFonts w:ascii="Times New Roman" w:hAnsi="Times New Roman"/>
          <w:sz w:val="24"/>
        </w:rPr>
        <w:t>Secteur et localisation : similarité textuelle entre le secteur_metier du candidat et le secteur de l'offre, combinée à un score de localisation (département déduit du Matricule et mobilité déclarée), appliquée de façon progressive pour ne jamais produire de short-list vide.</w:t>
      </w:r>
    </w:p>
    <w:p>
      <w:pPr>
        <w:pStyle w:val="ListBullet"/>
        <w:spacing w:after="40" w:line="360" w:lineRule="auto"/>
      </w:pPr>
      <w:r>
        <w:rPr>
          <w:rFonts w:ascii="Times New Roman" w:hAnsi="Times New Roman"/>
          <w:sz w:val="24"/>
        </w:rPr>
        <w:t>Texte : similarité TF-IDF sur les intitulés et qualifications, disponible pour 100 % du catalogue, enrichie par un second TF-IDF sur les champs Description/Profil/Compétences pour les 143 offres qui en disposent.</w:t>
      </w:r>
    </w:p>
    <w:p>
      <w:pPr>
        <w:pStyle w:val="ListBullet"/>
        <w:spacing w:after="40" w:line="360" w:lineRule="auto"/>
      </w:pPr>
      <w:r>
        <w:rPr>
          <w:rFonts w:ascii="Times New Roman" w:hAnsi="Times New Roman"/>
          <w:sz w:val="24"/>
        </w:rPr>
        <w:t>Structure : compatibilité entre l'objectif du candidat (Emploi, Stage, Formation) et le groupe de contrat de l'offre.</w:t>
      </w:r>
    </w:p>
    <w:p>
      <w:pPr>
        <w:spacing w:after="80" w:line="360" w:lineRule="auto"/>
      </w:pPr>
      <w:r>
        <w:rPr>
          <w:rFonts w:ascii="Times New Roman" w:hAnsi="Times New Roman"/>
          <w:b w:val="0"/>
          <w:i w:val="0"/>
          <w:sz w:val="24"/>
        </w:rPr>
        <w:t>Le score final résulte d'une somme pondérée des trois couches : Score = w₁ × secteur/localisation + w₂ × texte + w₃ × structure. Les poids ont été calibrés par recherche d'hyperparamètres sur un jeu de validation de 800 candidats, distinct du jeu de test, conduisant à w₁ = 0,21, w₂ = 0,70 et w₃ = 0,09.</w:t>
      </w:r>
    </w:p>
    <w:p>
      <w:pPr>
        <w:pStyle w:val="Heading1"/>
        <w:spacing w:before="160" w:after="80" w:line="240" w:lineRule="auto"/>
      </w:pPr>
      <w:r>
        <w:rPr>
          <w:rFonts w:ascii="Times New Roman" w:hAnsi="Times New Roman"/>
          <w:b/>
          <w:color w:val="1F5C3F"/>
          <w:sz w:val="28"/>
        </w:rPr>
        <w:t>4. Protocole d'évaluation et performance du modèle</w:t>
      </w:r>
    </w:p>
    <w:p>
      <w:pPr>
        <w:spacing w:after="80" w:line="360" w:lineRule="auto"/>
      </w:pPr>
      <w:r>
        <w:rPr>
          <w:rFonts w:ascii="Times New Roman" w:hAnsi="Times New Roman"/>
          <w:b w:val="0"/>
          <w:i w:val="0"/>
          <w:sz w:val="24"/>
        </w:rPr>
        <w:t>Le split entraînement/validation/test a été réalisé par candidat, jamais par ligne, afin d'éviter toute fuite d'information via les 3 offres de vérité terrain d'un même candidat. Les performances sont mesurées par Precision@K, Recall@K et NDCG@K, K = 5 et K = 10.</w:t>
      </w:r>
    </w:p>
    <w:tbl>
      <w:tblPr>
        <w:tblStyle w:val="TableGrid"/>
        <w:tblW w:type="auto" w:w="0"/>
        <w:jc w:val="center"/>
        <w:tblLook w:firstColumn="1" w:firstRow="1" w:lastColumn="0" w:lastRow="0" w:noHBand="0" w:noVBand="1" w:val="04A0"/>
      </w:tblPr>
      <w:tblGrid>
        <w:gridCol w:w="3135"/>
        <w:gridCol w:w="3135"/>
        <w:gridCol w:w="3135"/>
      </w:tblGrid>
      <w:tr>
        <w:tc>
          <w:tcPr>
            <w:tcW w:type="dxa" w:w="3118"/>
            <w:shd w:val="clear" w:color="auto" w:fill="1F5C3F"/>
          </w:tcPr>
          <w:p>
            <w:pPr>
              <w:spacing w:line="240" w:lineRule="auto" w:after="20"/>
            </w:pPr>
            <w:r/>
            <w:r>
              <w:rPr>
                <w:rFonts w:ascii="Times New Roman" w:hAnsi="Times New Roman"/>
                <w:b/>
                <w:color w:val="FFFFFF"/>
                <w:sz w:val="19"/>
              </w:rPr>
              <w:t>Indicateur</w:t>
            </w:r>
          </w:p>
        </w:tc>
        <w:tc>
          <w:tcPr>
            <w:tcW w:type="dxa" w:w="3118"/>
            <w:shd w:val="clear" w:color="auto" w:fill="1F5C3F"/>
          </w:tcPr>
          <w:p>
            <w:pPr>
              <w:spacing w:line="240" w:lineRule="auto" w:after="20"/>
            </w:pPr>
            <w:r/>
            <w:r>
              <w:rPr>
                <w:rFonts w:ascii="Times New Roman" w:hAnsi="Times New Roman"/>
                <w:b/>
                <w:color w:val="FFFFFF"/>
                <w:sz w:val="19"/>
              </w:rPr>
              <w:t>K = 5</w:t>
            </w:r>
          </w:p>
        </w:tc>
        <w:tc>
          <w:tcPr>
            <w:tcW w:type="dxa" w:w="3118"/>
            <w:shd w:val="clear" w:color="auto" w:fill="1F5C3F"/>
          </w:tcPr>
          <w:p>
            <w:pPr>
              <w:spacing w:line="240" w:lineRule="auto" w:after="20"/>
            </w:pPr>
            <w:r/>
            <w:r>
              <w:rPr>
                <w:rFonts w:ascii="Times New Roman" w:hAnsi="Times New Roman"/>
                <w:b/>
                <w:color w:val="FFFFFF"/>
                <w:sz w:val="19"/>
              </w:rPr>
              <w:t>K = 10</w:t>
            </w:r>
          </w:p>
        </w:tc>
      </w:tr>
      <w:tr>
        <w:tc>
          <w:tcPr>
            <w:tcW w:type="dxa" w:w="3118"/>
          </w:tcPr>
          <w:p>
            <w:pPr>
              <w:spacing w:line="240" w:lineRule="auto" w:after="20"/>
            </w:pPr>
            <w:r/>
            <w:r>
              <w:rPr>
                <w:rFonts w:ascii="Times New Roman" w:hAnsi="Times New Roman"/>
                <w:sz w:val="19"/>
              </w:rPr>
              <w:t>Precision@K</w:t>
            </w:r>
          </w:p>
        </w:tc>
        <w:tc>
          <w:tcPr>
            <w:tcW w:type="dxa" w:w="3118"/>
          </w:tcPr>
          <w:p>
            <w:pPr>
              <w:spacing w:line="240" w:lineRule="auto" w:after="20"/>
            </w:pPr>
            <w:r/>
            <w:r>
              <w:rPr>
                <w:rFonts w:ascii="Times New Roman" w:hAnsi="Times New Roman"/>
                <w:sz w:val="19"/>
              </w:rPr>
              <w:t>30.3 %</w:t>
            </w:r>
          </w:p>
        </w:tc>
        <w:tc>
          <w:tcPr>
            <w:tcW w:type="dxa" w:w="3118"/>
          </w:tcPr>
          <w:p>
            <w:pPr>
              <w:spacing w:line="240" w:lineRule="auto" w:after="20"/>
            </w:pPr>
            <w:r/>
            <w:r>
              <w:rPr>
                <w:rFonts w:ascii="Times New Roman" w:hAnsi="Times New Roman"/>
                <w:sz w:val="19"/>
              </w:rPr>
              <w:t>18.0 %</w:t>
            </w:r>
          </w:p>
        </w:tc>
      </w:tr>
      <w:tr>
        <w:tc>
          <w:tcPr>
            <w:tcW w:type="dxa" w:w="3118"/>
            <w:shd w:val="clear" w:color="auto" w:fill="EAF2EE"/>
          </w:tcPr>
          <w:p>
            <w:pPr>
              <w:spacing w:line="240" w:lineRule="auto" w:after="20"/>
            </w:pPr>
            <w:r/>
            <w:r>
              <w:rPr>
                <w:rFonts w:ascii="Times New Roman" w:hAnsi="Times New Roman"/>
                <w:sz w:val="19"/>
              </w:rPr>
              <w:t>Recall@K</w:t>
            </w:r>
          </w:p>
        </w:tc>
        <w:tc>
          <w:tcPr>
            <w:tcW w:type="dxa" w:w="3118"/>
            <w:shd w:val="clear" w:color="auto" w:fill="EAF2EE"/>
          </w:tcPr>
          <w:p>
            <w:pPr>
              <w:spacing w:line="240" w:lineRule="auto" w:after="20"/>
            </w:pPr>
            <w:r/>
            <w:r>
              <w:rPr>
                <w:rFonts w:ascii="Times New Roman" w:hAnsi="Times New Roman"/>
                <w:sz w:val="19"/>
              </w:rPr>
              <w:t>50.6 %</w:t>
            </w:r>
          </w:p>
        </w:tc>
        <w:tc>
          <w:tcPr>
            <w:tcW w:type="dxa" w:w="3118"/>
            <w:shd w:val="clear" w:color="auto" w:fill="EAF2EE"/>
          </w:tcPr>
          <w:p>
            <w:pPr>
              <w:spacing w:line="240" w:lineRule="auto" w:after="20"/>
            </w:pPr>
            <w:r/>
            <w:r>
              <w:rPr>
                <w:rFonts w:ascii="Times New Roman" w:hAnsi="Times New Roman"/>
                <w:sz w:val="19"/>
              </w:rPr>
              <w:t>60.0 %</w:t>
            </w:r>
          </w:p>
        </w:tc>
      </w:tr>
      <w:tr>
        <w:tc>
          <w:tcPr>
            <w:tcW w:type="dxa" w:w="3118"/>
          </w:tcPr>
          <w:p>
            <w:pPr>
              <w:spacing w:line="240" w:lineRule="auto" w:after="20"/>
            </w:pPr>
            <w:r/>
            <w:r>
              <w:rPr>
                <w:rFonts w:ascii="Times New Roman" w:hAnsi="Times New Roman"/>
                <w:sz w:val="19"/>
              </w:rPr>
              <w:t>NDCG@K</w:t>
            </w:r>
          </w:p>
        </w:tc>
        <w:tc>
          <w:tcPr>
            <w:tcW w:type="dxa" w:w="3118"/>
          </w:tcPr>
          <w:p>
            <w:pPr>
              <w:spacing w:line="240" w:lineRule="auto" w:after="20"/>
            </w:pPr>
            <w:r/>
            <w:r>
              <w:rPr>
                <w:rFonts w:ascii="Times New Roman" w:hAnsi="Times New Roman"/>
                <w:sz w:val="19"/>
              </w:rPr>
              <w:t>0.507</w:t>
            </w:r>
          </w:p>
        </w:tc>
        <w:tc>
          <w:tcPr>
            <w:tcW w:type="dxa" w:w="3118"/>
          </w:tcPr>
          <w:p>
            <w:pPr>
              <w:spacing w:line="240" w:lineRule="auto" w:after="20"/>
            </w:pPr>
            <w:r/>
            <w:r>
              <w:rPr>
                <w:rFonts w:ascii="Times New Roman" w:hAnsi="Times New Roman"/>
                <w:sz w:val="19"/>
              </w:rPr>
              <w:t>0.550</w:t>
            </w:r>
          </w:p>
        </w:tc>
      </w:tr>
    </w:tbl>
    <w:p>
      <w:pPr>
        <w:spacing w:after="80" w:line="240" w:lineRule="auto"/>
      </w:pPr>
    </w:p>
    <w:p>
      <w:pPr>
        <w:spacing w:after="80" w:line="360" w:lineRule="auto"/>
      </w:pPr>
      <w:r>
        <w:rPr>
          <w:rFonts w:ascii="Times New Roman" w:hAnsi="Times New Roman"/>
          <w:b w:val="0"/>
          <w:i w:val="0"/>
          <w:sz w:val="24"/>
        </w:rPr>
        <w:t>Résultats obtenus sur un jeu de test de 8259 candidats, jamais utilisé pour la calibration des poids. Le ground truth ne contenant que 3 offres pertinentes par candidat, Precision@5 est plafonnée à 60 % et Precision@10 à 30 % dans l'absolu, indépendamment de la qualité du modèle ; les valeurs obtenues représentent donc environ la moitié du plafond théorique à K = 5 et 60 % du plafond à K = 10.</w:t>
      </w:r>
    </w:p>
    <w:p>
      <w:pPr>
        <w:pStyle w:val="Heading1"/>
        <w:spacing w:before="160" w:after="80" w:line="240" w:lineRule="auto"/>
      </w:pPr>
      <w:r>
        <w:rPr>
          <w:rFonts w:ascii="Times New Roman" w:hAnsi="Times New Roman"/>
          <w:b/>
          <w:color w:val="1F5C3F"/>
          <w:sz w:val="28"/>
        </w:rPr>
        <w:t>5. Fonctionnalités complémentaires</w:t>
      </w:r>
    </w:p>
    <w:p>
      <w:pPr>
        <w:pStyle w:val="ListBullet"/>
        <w:spacing w:after="40" w:line="360" w:lineRule="auto"/>
      </w:pPr>
      <w:r>
        <w:rPr>
          <w:rFonts w:ascii="Times New Roman" w:hAnsi="Times New Roman"/>
          <w:sz w:val="22"/>
        </w:rPr>
        <w:t>Tableau de bord décisionnel : indicateurs macro-économiques, cartographie de tension emploi/candidats par département, distribution des scores de compatibilité, export PDF.</w:t>
      </w:r>
    </w:p>
    <w:p>
      <w:pPr>
        <w:pStyle w:val="ListBullet"/>
        <w:spacing w:after="40" w:line="360" w:lineRule="auto"/>
      </w:pPr>
      <w:r>
        <w:rPr>
          <w:rFonts w:ascii="Times New Roman" w:hAnsi="Times New Roman"/>
          <w:sz w:val="22"/>
        </w:rPr>
        <w:t>Recherche en langage naturel : requête libre comparée par similarité cosinus aux offres et aux candidats, sans correspondance exacte de mots-clés.</w:t>
      </w:r>
    </w:p>
    <w:p>
      <w:pPr>
        <w:pStyle w:val="ListBullet"/>
        <w:spacing w:after="40" w:line="360" w:lineRule="auto"/>
      </w:pPr>
      <w:r>
        <w:rPr>
          <w:rFonts w:ascii="Times New Roman" w:hAnsi="Times New Roman"/>
          <w:sz w:val="22"/>
        </w:rPr>
        <w:t>Analyse des écarts de compétences (Skill Gap) : compétences citées dans l'offre et absentes du profil du candidat, disponible pour les 143 offres à texte riche.</w:t>
      </w:r>
    </w:p>
    <w:p>
      <w:pPr>
        <w:pStyle w:val="ListBullet"/>
        <w:spacing w:after="40" w:line="360" w:lineRule="auto"/>
      </w:pPr>
      <w:r>
        <w:rPr>
          <w:rFonts w:ascii="Times New Roman" w:hAnsi="Times New Roman"/>
          <w:sz w:val="22"/>
        </w:rPr>
        <w:t>Simulateur de compatibilité : estimation en temps réel de l'effet d'un changement de mobilité ou de l'ajout d'une compétence sur le score, sans modification du profil réel.</w:t>
      </w:r>
    </w:p>
    <w:p>
      <w:pPr>
        <w:pStyle w:val="ListBullet"/>
        <w:spacing w:after="40" w:line="360" w:lineRule="auto"/>
      </w:pPr>
      <w:r>
        <w:rPr>
          <w:rFonts w:ascii="Times New Roman" w:hAnsi="Times New Roman"/>
          <w:sz w:val="22"/>
        </w:rPr>
        <w:t>Assistant contextuel local : interpréteur des recommandations et indicateurs par détection d'intention, sans dépendance à une API externe.</w:t>
      </w:r>
    </w:p>
    <w:p>
      <w:pPr>
        <w:pStyle w:val="ListBullet"/>
        <w:spacing w:after="40" w:line="360" w:lineRule="auto"/>
      </w:pPr>
      <w:r>
        <w:rPr>
          <w:rFonts w:ascii="Times New Roman" w:hAnsi="Times New Roman"/>
          <w:sz w:val="22"/>
        </w:rPr>
        <w:t>Authentification par rôle (Demandeur, Recruteur, Conseiller ACPE), base SQLite, mots de passe hachés (SHA-256 salé).</w:t>
      </w:r>
    </w:p>
    <w:p>
      <w:pPr>
        <w:spacing w:after="80" w:line="360" w:lineRule="auto"/>
      </w:pPr>
      <w:r>
        <w:rPr>
          <w:rFonts w:ascii="Times New Roman" w:hAnsi="Times New Roman"/>
          <w:b w:val="0"/>
          <w:i w:val="0"/>
          <w:sz w:val="22"/>
        </w:rPr>
        <w:t>Stack technique : Python, pandas et scikit-learn pour la préparation des données et le moteur TF-IDF, Streamlit pour l'interface, Plotly pour les visualisations, ReportLab pour l'export PDF.</w:t>
      </w:r>
    </w:p>
    <w:p>
      <w:pPr>
        <w:pStyle w:val="Heading1"/>
        <w:spacing w:before="160" w:after="80" w:line="240" w:lineRule="auto"/>
      </w:pPr>
      <w:r>
        <w:rPr>
          <w:rFonts w:ascii="Times New Roman" w:hAnsi="Times New Roman"/>
          <w:b/>
          <w:color w:val="1F5C3F"/>
          <w:sz w:val="28"/>
        </w:rPr>
        <w:t>6. Organisation du code</w:t>
      </w:r>
    </w:p>
    <w:p>
      <w:pPr>
        <w:spacing w:after="80" w:line="360" w:lineRule="auto"/>
      </w:pPr>
      <w:r>
        <w:rPr>
          <w:rFonts w:ascii="Times New Roman" w:hAnsi="Times New Roman"/>
          <w:b w:val="0"/>
          <w:i w:val="0"/>
          <w:sz w:val="24"/>
        </w:rPr>
        <w:t>Le dépôt est structuré en cinq dossiers, séparant les données, la logique du moteur, l'interface et les données précalculées, conformément à l'exigence d'un dépôt organisé.</w:t>
      </w:r>
    </w:p>
    <w:tbl>
      <w:tblPr>
        <w:tblStyle w:val="TableGrid"/>
        <w:tblW w:type="auto" w:w="0"/>
        <w:jc w:val="center"/>
        <w:tblLook w:firstColumn="1" w:firstRow="1" w:lastColumn="0" w:lastRow="0" w:noHBand="0" w:noVBand="1" w:val="04A0"/>
      </w:tblPr>
      <w:tblGrid>
        <w:gridCol w:w="4703"/>
        <w:gridCol w:w="4703"/>
      </w:tblGrid>
      <w:tr>
        <w:tc>
          <w:tcPr>
            <w:tcW w:type="dxa" w:w="1984"/>
            <w:shd w:val="clear" w:color="auto" w:fill="1F5C3F"/>
          </w:tcPr>
          <w:p>
            <w:pPr>
              <w:spacing w:line="240" w:lineRule="auto" w:after="20"/>
            </w:pPr>
            <w:r/>
            <w:r>
              <w:rPr>
                <w:rFonts w:ascii="Times New Roman" w:hAnsi="Times New Roman"/>
                <w:b/>
                <w:color w:val="FFFFFF"/>
                <w:sz w:val="19"/>
              </w:rPr>
              <w:t>Dossier</w:t>
            </w:r>
          </w:p>
        </w:tc>
        <w:tc>
          <w:tcPr>
            <w:tcW w:type="dxa" w:w="7370"/>
            <w:shd w:val="clear" w:color="auto" w:fill="1F5C3F"/>
          </w:tcPr>
          <w:p>
            <w:pPr>
              <w:spacing w:line="240" w:lineRule="auto" w:after="20"/>
            </w:pPr>
            <w:r/>
            <w:r>
              <w:rPr>
                <w:rFonts w:ascii="Times New Roman" w:hAnsi="Times New Roman"/>
                <w:b/>
                <w:color w:val="FFFFFF"/>
                <w:sz w:val="19"/>
              </w:rPr>
              <w:t>Contenu</w:t>
            </w:r>
          </w:p>
        </w:tc>
      </w:tr>
      <w:tr>
        <w:tc>
          <w:tcPr>
            <w:tcW w:type="dxa" w:w="1984"/>
          </w:tcPr>
          <w:p>
            <w:pPr>
              <w:spacing w:line="240" w:lineRule="auto" w:after="20"/>
            </w:pPr>
            <w:r/>
            <w:r>
              <w:rPr>
                <w:rFonts w:ascii="Times New Roman" w:hAnsi="Times New Roman"/>
                <w:sz w:val="19"/>
              </w:rPr>
              <w:t>data/</w:t>
            </w:r>
          </w:p>
        </w:tc>
        <w:tc>
          <w:tcPr>
            <w:tcW w:type="dxa" w:w="7370"/>
          </w:tcPr>
          <w:p>
            <w:pPr>
              <w:spacing w:line="240" w:lineRule="auto" w:after="20"/>
            </w:pPr>
            <w:r/>
            <w:r>
              <w:rPr>
                <w:rFonts w:ascii="Times New Roman" w:hAnsi="Times New Roman"/>
                <w:sz w:val="19"/>
              </w:rPr>
              <w:t>Quatre jeux de données bruts fournis par les organisateurs (fichiers Excel), non modifiés.</w:t>
            </w:r>
          </w:p>
        </w:tc>
      </w:tr>
      <w:tr>
        <w:tc>
          <w:tcPr>
            <w:tcW w:type="dxa" w:w="1984"/>
            <w:shd w:val="clear" w:color="auto" w:fill="EAF2EE"/>
          </w:tcPr>
          <w:p>
            <w:pPr>
              <w:spacing w:line="240" w:lineRule="auto" w:after="20"/>
            </w:pPr>
            <w:r/>
            <w:r>
              <w:rPr>
                <w:rFonts w:ascii="Times New Roman" w:hAnsi="Times New Roman"/>
                <w:sz w:val="19"/>
              </w:rPr>
              <w:t>moteur/</w:t>
            </w:r>
          </w:p>
        </w:tc>
        <w:tc>
          <w:tcPr>
            <w:tcW w:type="dxa" w:w="7370"/>
            <w:shd w:val="clear" w:color="auto" w:fill="EAF2EE"/>
          </w:tcPr>
          <w:p>
            <w:pPr>
              <w:spacing w:line="240" w:lineRule="auto" w:after="20"/>
            </w:pPr>
            <w:r/>
            <w:r>
              <w:rPr>
                <w:rFonts w:ascii="Times New Roman" w:hAnsi="Times New Roman"/>
                <w:sz w:val="19"/>
              </w:rPr>
              <w:t>Logique métier : préparation et nettoyage des données (data_prep.py), moteur d'appariement à 3 couches (matching.py), calibration des poids et évaluation (calibrate_weights.py, evaluation.py, final_evaluation.py), extraction de compétences d'un CV (cv_parser.py, skills.py), recherche en langage naturel (search.py), assistant contextuel (chatbot.py), authentification (auth.py), export PDF (pdf_report.py).</w:t>
            </w:r>
          </w:p>
        </w:tc>
      </w:tr>
      <w:tr>
        <w:tc>
          <w:tcPr>
            <w:tcW w:type="dxa" w:w="1984"/>
          </w:tcPr>
          <w:p>
            <w:pPr>
              <w:spacing w:line="240" w:lineRule="auto" w:after="20"/>
            </w:pPr>
            <w:r/>
            <w:r>
              <w:rPr>
                <w:rFonts w:ascii="Times New Roman" w:hAnsi="Times New Roman"/>
                <w:sz w:val="19"/>
              </w:rPr>
              <w:t>application/</w:t>
            </w:r>
          </w:p>
        </w:tc>
        <w:tc>
          <w:tcPr>
            <w:tcW w:type="dxa" w:w="7370"/>
          </w:tcPr>
          <w:p>
            <w:pPr>
              <w:spacing w:line="240" w:lineRule="auto" w:after="20"/>
            </w:pPr>
            <w:r/>
            <w:r>
              <w:rPr>
                <w:rFonts w:ascii="Times New Roman" w:hAnsi="Times New Roman"/>
                <w:sz w:val="19"/>
              </w:rPr>
              <w:t>Interface Streamlit : point d'entrée unique (main.py), styles et composants communs (common.py), une page par profil dans pages/ (login, demandeur, recruteur, conseiller), images de fond dans images/.</w:t>
            </w:r>
          </w:p>
        </w:tc>
      </w:tr>
      <w:tr>
        <w:tc>
          <w:tcPr>
            <w:tcW w:type="dxa" w:w="1984"/>
            <w:shd w:val="clear" w:color="auto" w:fill="EAF2EE"/>
          </w:tcPr>
          <w:p>
            <w:pPr>
              <w:spacing w:line="240" w:lineRule="auto" w:after="20"/>
            </w:pPr>
            <w:r/>
            <w:r>
              <w:rPr>
                <w:rFonts w:ascii="Times New Roman" w:hAnsi="Times New Roman"/>
                <w:sz w:val="19"/>
              </w:rPr>
              <w:t>donnees_generees/</w:t>
            </w:r>
          </w:p>
        </w:tc>
        <w:tc>
          <w:tcPr>
            <w:tcW w:type="dxa" w:w="7370"/>
            <w:shd w:val="clear" w:color="auto" w:fill="EAF2EE"/>
          </w:tcPr>
          <w:p>
            <w:pPr>
              <w:spacing w:line="240" w:lineRule="auto" w:after="20"/>
            </w:pPr>
            <w:r/>
            <w:r>
              <w:rPr>
                <w:rFonts w:ascii="Times New Roman" w:hAnsi="Times New Roman"/>
                <w:sz w:val="19"/>
              </w:rPr>
              <w:t>Données précalculées : recommandations pour l'ensemble des candidats, statistiques du tableau de bord, résultats d'évaluation, base des comptes utilisateurs (SQLite).</w:t>
            </w:r>
          </w:p>
        </w:tc>
      </w:tr>
      <w:tr>
        <w:tc>
          <w:tcPr>
            <w:tcW w:type="dxa" w:w="1984"/>
          </w:tcPr>
          <w:p>
            <w:pPr>
              <w:spacing w:line="240" w:lineRule="auto" w:after="20"/>
            </w:pPr>
            <w:r/>
            <w:r>
              <w:rPr>
                <w:rFonts w:ascii="Times New Roman" w:hAnsi="Times New Roman"/>
                <w:sz w:val="19"/>
              </w:rPr>
              <w:t>api/</w:t>
            </w:r>
          </w:p>
        </w:tc>
        <w:tc>
          <w:tcPr>
            <w:tcW w:type="dxa" w:w="7370"/>
          </w:tcPr>
          <w:p>
            <w:pPr>
              <w:spacing w:line="240" w:lineRule="auto" w:after="20"/>
            </w:pPr>
            <w:r/>
            <w:r>
              <w:rPr>
                <w:rFonts w:ascii="Times New Roman" w:hAnsi="Times New Roman"/>
                <w:sz w:val="19"/>
              </w:rPr>
              <w:t>API REST optionnelle exposant le moteur pour un accès programmatique (non nécessaire à l'utilisation de l'application).</w:t>
            </w:r>
          </w:p>
        </w:tc>
      </w:tr>
    </w:tbl>
    <w:p>
      <w:pPr>
        <w:spacing w:after="80" w:line="240" w:lineRule="auto"/>
      </w:pPr>
    </w:p>
    <w:p>
      <w:pPr>
        <w:spacing w:after="80" w:line="360" w:lineRule="auto"/>
      </w:pPr>
      <w:r>
        <w:rPr>
          <w:rFonts w:ascii="Times New Roman" w:hAnsi="Times New Roman"/>
          <w:b w:val="0"/>
          <w:i w:val="0"/>
          <w:sz w:val="22"/>
        </w:rPr>
        <w:t>L'application se lance avec la commande streamlit run application/main.py.</w:t>
      </w:r>
    </w:p>
    <w:p>
      <w:pPr>
        <w:pStyle w:val="Heading1"/>
        <w:spacing w:before="160" w:after="80" w:line="240" w:lineRule="auto"/>
      </w:pPr>
      <w:r>
        <w:rPr>
          <w:rFonts w:ascii="Times New Roman" w:hAnsi="Times New Roman"/>
          <w:b/>
          <w:color w:val="1F5C3F"/>
          <w:sz w:val="28"/>
        </w:rPr>
        <w:t>7. Accès de démonstration pour le jury</w:t>
      </w:r>
    </w:p>
    <w:p>
      <w:pPr>
        <w:spacing w:after="80" w:line="360" w:lineRule="auto"/>
      </w:pPr>
      <w:r>
        <w:rPr>
          <w:rFonts w:ascii="Times New Roman" w:hAnsi="Times New Roman"/>
          <w:b w:val="0"/>
          <w:i w:val="0"/>
          <w:sz w:val="24"/>
        </w:rPr>
        <w:t>Un compte a été créé à l'avance pour chacun des trois profils applicatifs : le jury n'a besoin de créer aucun compte pour tester l'outil. Le lancement de l'application affiche uniquement la page de connexion ; l'accès aux fonctionnalités de chaque profil s'effectue directement après authentification avec les identifiants ci-dessous.</w:t>
      </w:r>
    </w:p>
    <w:tbl>
      <w:tblPr>
        <w:tblStyle w:val="TableGrid"/>
        <w:tblW w:type="auto" w:w="0"/>
        <w:jc w:val="center"/>
        <w:tblLook w:firstColumn="1" w:firstRow="1" w:lastColumn="0" w:lastRow="0" w:noHBand="0" w:noVBand="1" w:val="04A0"/>
      </w:tblPr>
      <w:tblGrid>
        <w:gridCol w:w="3135"/>
        <w:gridCol w:w="3135"/>
        <w:gridCol w:w="3135"/>
      </w:tblGrid>
      <w:tr>
        <w:tc>
          <w:tcPr>
            <w:tcW w:type="dxa" w:w="3118"/>
            <w:shd w:val="clear" w:color="auto" w:fill="1F5C3F"/>
          </w:tcPr>
          <w:p>
            <w:pPr>
              <w:spacing w:line="240" w:lineRule="auto" w:after="20"/>
            </w:pPr>
            <w:r/>
            <w:r>
              <w:rPr>
                <w:rFonts w:ascii="Times New Roman" w:hAnsi="Times New Roman"/>
                <w:b/>
                <w:color w:val="FFFFFF"/>
                <w:sz w:val="19"/>
              </w:rPr>
              <w:t>Profil</w:t>
            </w:r>
          </w:p>
        </w:tc>
        <w:tc>
          <w:tcPr>
            <w:tcW w:type="dxa" w:w="3685"/>
            <w:shd w:val="clear" w:color="auto" w:fill="1F5C3F"/>
          </w:tcPr>
          <w:p>
            <w:pPr>
              <w:spacing w:line="240" w:lineRule="auto" w:after="20"/>
            </w:pPr>
            <w:r/>
            <w:r>
              <w:rPr>
                <w:rFonts w:ascii="Times New Roman" w:hAnsi="Times New Roman"/>
                <w:b/>
                <w:color w:val="FFFFFF"/>
                <w:sz w:val="19"/>
              </w:rPr>
              <w:t>Email</w:t>
            </w:r>
          </w:p>
        </w:tc>
        <w:tc>
          <w:tcPr>
            <w:tcW w:type="dxa" w:w="2551"/>
            <w:shd w:val="clear" w:color="auto" w:fill="1F5C3F"/>
          </w:tcPr>
          <w:p>
            <w:pPr>
              <w:spacing w:line="240" w:lineRule="auto" w:after="20"/>
            </w:pPr>
            <w:r/>
            <w:r>
              <w:rPr>
                <w:rFonts w:ascii="Times New Roman" w:hAnsi="Times New Roman"/>
                <w:b/>
                <w:color w:val="FFFFFF"/>
                <w:sz w:val="19"/>
              </w:rPr>
              <w:t>Mot de passe</w:t>
            </w:r>
          </w:p>
        </w:tc>
      </w:tr>
      <w:tr>
        <w:tc>
          <w:tcPr>
            <w:tcW w:type="dxa" w:w="3118"/>
          </w:tcPr>
          <w:p>
            <w:pPr>
              <w:spacing w:line="240" w:lineRule="auto" w:after="20"/>
            </w:pPr>
            <w:r/>
            <w:r>
              <w:rPr>
                <w:rFonts w:ascii="Times New Roman" w:hAnsi="Times New Roman"/>
                <w:sz w:val="19"/>
              </w:rPr>
              <w:t>Demandeur d'emploi</w:t>
            </w:r>
          </w:p>
        </w:tc>
        <w:tc>
          <w:tcPr>
            <w:tcW w:type="dxa" w:w="3685"/>
          </w:tcPr>
          <w:p>
            <w:pPr>
              <w:spacing w:line="240" w:lineRule="auto" w:after="20"/>
            </w:pPr>
            <w:r/>
            <w:r>
              <w:rPr>
                <w:rFonts w:ascii="Times New Roman" w:hAnsi="Times New Roman"/>
                <w:sz w:val="19"/>
              </w:rPr>
              <w:t>jury.demandeur@acpematcher.cg</w:t>
            </w:r>
          </w:p>
        </w:tc>
        <w:tc>
          <w:tcPr>
            <w:tcW w:type="dxa" w:w="2551"/>
          </w:tcPr>
          <w:p>
            <w:pPr>
              <w:spacing w:line="240" w:lineRule="auto" w:after="20"/>
            </w:pPr>
            <w:r/>
            <w:r>
              <w:rPr>
                <w:rFonts w:ascii="Times New Roman" w:hAnsi="Times New Roman"/>
                <w:sz w:val="19"/>
              </w:rPr>
              <w:t>Jury2026Demandeur</w:t>
            </w:r>
          </w:p>
        </w:tc>
      </w:tr>
      <w:tr>
        <w:tc>
          <w:tcPr>
            <w:tcW w:type="dxa" w:w="3118"/>
            <w:shd w:val="clear" w:color="auto" w:fill="EAF2EE"/>
          </w:tcPr>
          <w:p>
            <w:pPr>
              <w:spacing w:line="240" w:lineRule="auto" w:after="20"/>
            </w:pPr>
            <w:r/>
            <w:r>
              <w:rPr>
                <w:rFonts w:ascii="Times New Roman" w:hAnsi="Times New Roman"/>
                <w:sz w:val="19"/>
              </w:rPr>
              <w:t>Offreur d'emploi (Recruteur)</w:t>
            </w:r>
          </w:p>
        </w:tc>
        <w:tc>
          <w:tcPr>
            <w:tcW w:type="dxa" w:w="3685"/>
            <w:shd w:val="clear" w:color="auto" w:fill="EAF2EE"/>
          </w:tcPr>
          <w:p>
            <w:pPr>
              <w:spacing w:line="240" w:lineRule="auto" w:after="20"/>
            </w:pPr>
            <w:r/>
            <w:r>
              <w:rPr>
                <w:rFonts w:ascii="Times New Roman" w:hAnsi="Times New Roman"/>
                <w:sz w:val="19"/>
              </w:rPr>
              <w:t>jury.recruteur@acpematcher.cg</w:t>
            </w:r>
          </w:p>
        </w:tc>
        <w:tc>
          <w:tcPr>
            <w:tcW w:type="dxa" w:w="2551"/>
            <w:shd w:val="clear" w:color="auto" w:fill="EAF2EE"/>
          </w:tcPr>
          <w:p>
            <w:pPr>
              <w:spacing w:line="240" w:lineRule="auto" w:after="20"/>
            </w:pPr>
            <w:r/>
            <w:r>
              <w:rPr>
                <w:rFonts w:ascii="Times New Roman" w:hAnsi="Times New Roman"/>
                <w:sz w:val="19"/>
              </w:rPr>
              <w:t>Jury2026Recruteur</w:t>
            </w:r>
          </w:p>
        </w:tc>
      </w:tr>
      <w:tr>
        <w:tc>
          <w:tcPr>
            <w:tcW w:type="dxa" w:w="3118"/>
          </w:tcPr>
          <w:p>
            <w:pPr>
              <w:spacing w:line="240" w:lineRule="auto" w:after="20"/>
            </w:pPr>
            <w:r/>
            <w:r>
              <w:rPr>
                <w:rFonts w:ascii="Times New Roman" w:hAnsi="Times New Roman"/>
                <w:sz w:val="19"/>
              </w:rPr>
              <w:t>Conseiller / Administrateur ACPE</w:t>
            </w:r>
          </w:p>
        </w:tc>
        <w:tc>
          <w:tcPr>
            <w:tcW w:type="dxa" w:w="3685"/>
          </w:tcPr>
          <w:p>
            <w:pPr>
              <w:spacing w:line="240" w:lineRule="auto" w:after="20"/>
            </w:pPr>
            <w:r/>
            <w:r>
              <w:rPr>
                <w:rFonts w:ascii="Times New Roman" w:hAnsi="Times New Roman"/>
                <w:sz w:val="19"/>
              </w:rPr>
              <w:t>jury.conseiller@acpematcher.cg</w:t>
            </w:r>
          </w:p>
        </w:tc>
        <w:tc>
          <w:tcPr>
            <w:tcW w:type="dxa" w:w="2551"/>
          </w:tcPr>
          <w:p>
            <w:pPr>
              <w:spacing w:line="240" w:lineRule="auto" w:after="20"/>
            </w:pPr>
            <w:r/>
            <w:r>
              <w:rPr>
                <w:rFonts w:ascii="Times New Roman" w:hAnsi="Times New Roman"/>
                <w:sz w:val="19"/>
              </w:rPr>
              <w:t>Jury2026Conseiller</w:t>
            </w:r>
          </w:p>
        </w:tc>
      </w:tr>
    </w:tbl>
    <w:p>
      <w:pPr>
        <w:spacing w:after="80" w:line="240" w:lineRule="auto"/>
      </w:pPr>
    </w:p>
    <w:p>
      <w:pPr>
        <w:pStyle w:val="Heading1"/>
        <w:spacing w:before="160" w:after="80" w:line="240" w:lineRule="auto"/>
      </w:pPr>
      <w:r>
        <w:rPr>
          <w:rFonts w:ascii="Times New Roman" w:hAnsi="Times New Roman"/>
          <w:b/>
          <w:color w:val="1F5C3F"/>
          <w:sz w:val="28"/>
        </w:rPr>
        <w:t>8. Points innovants</w:t>
      </w:r>
    </w:p>
    <w:p>
      <w:pPr>
        <w:pStyle w:val="ListBullet"/>
        <w:spacing w:after="40" w:line="360" w:lineRule="auto"/>
      </w:pPr>
      <w:r>
        <w:rPr>
          <w:rFonts w:ascii="Times New Roman" w:hAnsi="Times New Roman"/>
          <w:sz w:val="22"/>
        </w:rPr>
        <w:t>Reconstruction d'une donnée absente : aucune colonne de localisation n'existait pour les candidats ; le département a été déduit du préfixe du Matricule plutôt que d'être ignoré, ce qui a rendu possible la couche secteur/localisation pour l'ensemble des candidats.</w:t>
      </w:r>
    </w:p>
    <w:p>
      <w:pPr>
        <w:pStyle w:val="ListBullet"/>
        <w:spacing w:after="40" w:line="360" w:lineRule="auto"/>
      </w:pPr>
      <w:r>
        <w:rPr>
          <w:rFonts w:ascii="Times New Roman" w:hAnsi="Times New Roman"/>
          <w:sz w:val="22"/>
        </w:rPr>
        <w:t>Explicabilité par construction : le score n'est pas une boîte noire expliquée a posteriori, il est nativement décomposé en trois sous-scores interprétables (secteur/localisation, texte, structure), directement restitués à l'utilisateur.</w:t>
      </w:r>
    </w:p>
    <w:p>
      <w:pPr>
        <w:pStyle w:val="ListBullet"/>
        <w:spacing w:after="40" w:line="360" w:lineRule="auto"/>
      </w:pPr>
      <w:r>
        <w:rPr>
          <w:rFonts w:ascii="Times New Roman" w:hAnsi="Times New Roman"/>
          <w:sz w:val="22"/>
        </w:rPr>
        <w:t>Pondération calibrée empiriquement : les poids du modèle hybride résultent d'une recherche d'hyperparamètres comparant règles seules, texte seul et hybride sur un jeu de validation, plutôt que d'un choix arbitraire.</w:t>
      </w:r>
    </w:p>
    <w:p>
      <w:pPr>
        <w:pStyle w:val="ListBullet"/>
        <w:spacing w:after="40" w:line="360" w:lineRule="auto"/>
      </w:pPr>
      <w:r>
        <w:rPr>
          <w:rFonts w:ascii="Times New Roman" w:hAnsi="Times New Roman"/>
          <w:sz w:val="22"/>
        </w:rPr>
        <w:t>Accès élargi au-delà du dataset fourni : un candidat absent de la base ACPE peut créer un profil en téléversant simplement son CV, dont les compétences sont extraites automatiquement et injectées dans le même moteur de recommandation.</w:t>
      </w:r>
    </w:p>
    <w:p>
      <w:pPr>
        <w:pStyle w:val="ListBullet"/>
        <w:spacing w:after="40" w:line="360" w:lineRule="auto"/>
      </w:pPr>
      <w:r>
        <w:rPr>
          <w:rFonts w:ascii="Times New Roman" w:hAnsi="Times New Roman"/>
          <w:sz w:val="22"/>
        </w:rPr>
        <w:t>Simulateur d'impact « et si ? » : le candidat peut estimer, avant d'agir, l'effet d'une compétence à acquérir ou d'un changement de mobilité sur son score de compatibilité avec une offre donnée, transformant le moteur en outil d'orientation proactif plutôt que descriptif.</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