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(4.31%)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4,043 (95.69%)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3,140 (74.32%)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 (5.07%)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871 (20.62%)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1,071 (24.65%)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3,274 (75.35%)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2,607 (60.00%)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 (6.70%)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1,447 (33.30%)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723 (11.63%)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5,493 (88.37%)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4,104 (66.02%)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(0.60%)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2,075 (33.38%)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 (0.34)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[3 - 3]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4,175 (31.17%)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9,219 (68.83%)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8,749 (65.32%)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13,394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4,122 (88.74%)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(4.63%)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(6.63%)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[3 - 3]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[3 to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(33.33%)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10,128 (66.67%)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10,128 (66.67%)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15,192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4,667 (92.16%)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(1.22%)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 (6.62%)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visit_occurrence, observation, death tables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visit_occurrence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Admitted from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Discharged to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Preceding 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end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start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 (0.16)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[3 - 3]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 to 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11,535 (32.97%)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23,456 (67.03%)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 event field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event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Qualifier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number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 (66.37%)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as string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34,991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detail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 occurrence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records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Subjects not in person table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 per person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 to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11,769 (97.85%)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Domain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10,133 (84.25%)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(4.93%)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1,302 (10.82%)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vocabulary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concept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algorithm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before birth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 before 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Column name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Cause source value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datetime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type concept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id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missing data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zeros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2026-04-23T15:02:16Z</dcterms:modified>
  <cp:category/>
</cp:coreProperties>
</file>