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4" w:hRule="auto"/>
          <w:tblHeader/>
        </w:trPr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6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Site Name</w:t>
            </w:r>
          </w:p>
        </w:tc>
      </w:tr>
      <w:tr>
        <w:trPr>
          <w:trHeight w:val="77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36538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hararghe_hdss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12028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igangamayuge_hdss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5064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meiru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4645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niakhar_hdss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4238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nuhdss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6218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ouagadougou_hdss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4345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36292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19815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6718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2639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2402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2078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3572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2406 (55.4%)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16477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5310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2425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2646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1939 (44.6%)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Socio-economic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5715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2871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1306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middle lower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4843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2677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1324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842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4108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2385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1326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middle upper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3758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2096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708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upper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2609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1765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Highest Level of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12537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8909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1785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1843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1611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2165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2083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2363 (10.9%)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783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977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higher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641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4345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Year of Death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778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312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795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447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1160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427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2004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738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(7.8%)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 (8.1%)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1955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496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271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419 (9.6%)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1841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340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 (9.2%)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1687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430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 (9.0%)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1522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322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370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331 (7.6%)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2467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322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 (9.2%)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2264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935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280 (6.4%)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1890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 (7.5%)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1869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1020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 (7.4%)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1300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 (6.8%)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2580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1531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 (7.2%)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1889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 (3.9%)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2055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1727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1838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1707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 at Death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36.2 (30.4)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38.9 (29.7)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(31.1)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38.7 (32.0)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48.7 (32.6)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27.5 (22.7)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40.3 (29.5)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35.2 (2.4, 62.8)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41.9 (4.7, 64.1)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 (0.0, 48.3)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37.6 (2.5, 69.2)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(10.9, 76.8)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(1.5, 42.2)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41.8 (7.1, 65.5)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0.0, 105.8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0.0, 129.8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 group at Death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11045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3061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2793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1367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1914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984 (22.6%)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1858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 (6.8%)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 (5.1%)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4999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1287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625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1775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594 (13.7%)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8118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1402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1135 (26.1%)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and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8453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2912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913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1304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1837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1116 (25.7%)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Cause of death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01.01 Sepsis (non-obstetric)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01.02 Acute resp infect incl pneumonia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2182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581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360 (8.3%)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01.03 HIV/AIDS related death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3007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1021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198 (4.6%)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01.04 Diarrhoeal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2112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1512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 (2.8%)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01.05 Malaria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859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 (8.4%)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01.06 Measles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01.07 Meningitis and encephalitis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918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 (2.0%)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01.09 pulmonary tuberculosis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1872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623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930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(2.1%)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01.10 Pertussis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01.11 Haemorrhagic fever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01.12 Dengue fever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01.99 Other and unspecified 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778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02.01 oral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02.02 digestive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1281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696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318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02.03 respiratory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329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 (1.7%)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02.04 breast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02.05, 02.06 reproductive neoplasms m,f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 (1.2%)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02.99 other and unspecified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497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03.01 severe anaemia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03.02 Severe malnutrition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03.03 Diabetes mellitus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(1.7%)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04.01 Acute cardiac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368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 (1.8%)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04.02 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593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 (6.7%)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04.03 Sickle cell with crisis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04.99 Other and unspecified cardiac 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1411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 (4.9%)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05.01 chronic obstructive pulmonary 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05.02 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06.01 Acute 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 (4.1%)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06.02 Liver cirrhosis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07.01 Renal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489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 (1.0%)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08.01 Epilepsy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(0.6%)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09.01 ectopic pregnancy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09.02 abortion-related death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09.03 pregnancy-induced 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09.04 obstetric haemorrhage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09.05 Obstructed labour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09.06 Pregnancy-related sepsis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09.07 anaemia of pregnancy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09.99 other and unspecified maternal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10.01 Prematurity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683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10.02 Birth asphyxia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647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10.03 Neonatal pneumonia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10.04 Neonatal sepsis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10.06 Congenital malformation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10.99 other and unspecified neonatal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11.01 Fresh stillbirth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429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11.02 Macerated stillbirth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12.01 Road traffic accident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819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 (3.0%)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12.02 Other transport accident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12.03 Accid fall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12.04 Accid drowning and submersion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12.05 Accid expos to smoke fire &amp; flame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12.06 Contact with venomous plant/animal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12.07 Accid poisoning &amp; noxious subs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12.08 intentional self-harm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12.09 Assault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789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12.10 Exposure to force of nature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12.99 Other and unspecified external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Acute abdominal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AIDS and Pulmonary tuberculosis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and unspecified specified noncommunicable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206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forms of tuberculosis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perinatal causes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specified acute abdominal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specified acute febrile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specified and Unspecified Acute Respiratory Infections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specified and Unspecified cardiovascular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specified and unspecified liver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specified symptoms, signs and syndromes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425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Animal Bite or Attack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Burns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Carcinoma 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Carcinoma cervix or uterus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Carcinoma of gastrointestinal 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Carcinoma of the lung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Central nervous system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Cerebrovascular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Chronic hepatitis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Congestive cardiac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Eclampsia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Homicidal injuries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Ischaemic heart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K59.9 Functional Intestinal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Neonatal tetanus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 specified unintentional injuries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P59.9 neonatal jaundice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Puerperal sepsis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Renal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Ruptured uterus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1353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1228 (28.3%)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Unspecified Acute febrile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Viral Hepatitis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General Cause of death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206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(0.6%)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Communicable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11869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3346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1740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2033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865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2735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1150 (26.5%)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direct maternal causes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causes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850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 communicable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14105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6094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1588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1634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2517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774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1498 (34.5%)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nutritional causes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Perinatal/Neonatal death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2872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993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525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362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 (2.5%)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3537 (9.7%)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553 (4.6%)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 (9.5%)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1353 (21.8%)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1228 (28.3%)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(%); Mean (SD); Median (IQR); Range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2026-04-23T06:34:07Z</dcterms:modified>
  <cp:category/>
</cp:coreProperties>
</file>