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meiru_karonga_hdss_cdm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meiru_karonga_hdss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Rupture of uterus (444066);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Rupture of uterus (444066);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10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134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Dengue (440022);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11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84</w:t>
            </w:r>
          </w:p>
        </w:tc>
      </w:tr>
    </w:tbl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37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77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breast (81251);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20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Transport accident (435713);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Hemoglobin SS disease with crisis (26942);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37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Hemoglobin SS disease with crisis (26942);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75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Antepartum septicemia (37175321);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Antepartum septicemia (37175321); Source: No matching concept (0); 13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Asthma (317009); Source: No matching concept (0);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2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467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Pertussis (257778); Source: No matching concept (0); 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79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Homicide (4101415);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Homicide (4101415);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Extrapulmonary tuberculosis co-occurrent with human immunodeficiency virus infection (37116831); Source: No matching concept (0); 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characterized by fever (4166729);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Disease of liver (194984);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Homicide (4101415);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Extrapulmonary tuberculosis co-occurrent with human immunodeficiency virus infection (37116831);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Tetanus (435740);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characterized by fever (4166729);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Disease of liver (194984);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174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Carcinoma in situ of gastrointestinal tract (4244495);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Ischemic heart disease (4185932); Source: No matching concept (0); 12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Macerated stillbirth (4028787); Source: No matching concept (0); 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117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69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95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13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248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77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120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105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285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2026-05-19T15:19:34Z</dcterms:modified>
  <cp:category/>
</cp:coreProperties>
</file>