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Sensitivity-gls/arima model interruption1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73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86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sensitivity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Non-Significant Stable Coefficient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 (22.1%)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Significant Stable Coefficient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56 (65.1%)</w:t>
            </w:r>
          </w:p>
        </w:tc>
      </w:tr>
      <w:tr>
        <w:trPr>
          <w:trHeight w:val="617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Stable Coefficient Significant in GLS only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 (12.8%)</w:t>
            </w:r>
          </w:p>
        </w:tc>
      </w:tr>
      <w:tr>
        <w:trPr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nextPage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2025-08-31T22:16:35Z</dcterms:modified>
  <cp:category/>
</cp:coreProperties>
</file>