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Sensitivity-gls/arima model interruption2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sensitivity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Non-Significant Stable Coefficient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 (29.7%)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Non-Significant Unstable Coefficient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(2.3%)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Significant Stable Coefficient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81 (47.1%)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Stable Coefficient Significant in ARIMA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(0.6%)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Stable Coefficient Significant in GLS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 (19.8%)</w:t>
            </w:r>
          </w:p>
        </w:tc>
      </w:tr>
      <w:tr>
        <w:trPr>
          <w:trHeight w:val="617" w:hRule="auto"/>
        </w:trPr>
        body7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Unstable Coefficient Significant in GLS only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(0.6%)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2025-08-31T22:16:44Z</dcterms:modified>
  <cp:category/>
</cp:coreProperties>
</file>