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6b6b6b"/>
          <w:spacing w:val="120"/>
          <w:sz w:val="17"/>
          <w:szCs w:val="17"/>
        </w:rPr>
        <w:t xml:space="preserve">WORKING PAPER  ·  MACHINE LEARNING THEORY</w:t>
      </w:r>
    </w:p>
    <w:p>
      <w:pPr>
        <w:pBdr>
          <w:bottom w:val="single" w:color="a0a0a0" w:sz="2" w:space="4"/>
        </w:pBdr>
        <w:spacing w:after="0" w:before="0"/>
      </w:pPr>
    </w:p>
    <w:p>
      <w:pPr>
        <w:spacing w:before="0" w:after="32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Ashes to Attention: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8a"/>
          <w:sz w:val="52"/>
          <w:szCs w:val="52"/>
        </w:rPr>
        <w:t xml:space="preserve">On the Virtue of Forgetting Well</w:t>
      </w:r>
    </w:p>
    <w:p>
      <w:pPr>
        <w:pBdr>
          <w:bottom w:val="single" w:color="a0a0a0" w:sz="2" w:space="4"/>
        </w:pBdr>
        <w:spacing w:after="0" w:before="0"/>
      </w:pPr>
    </w:p>
    <w:p>
      <w:pPr>
        <w:spacing w:before="0" w:after="360"/>
      </w:pP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An Introduction to Active Suppression Heads, Contextual Epistemic Release and Epistemic State Channels as a Mechanism for Allowing LLMs to Forget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Alan Cole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4a8a"/>
          <w:sz w:val="22"/>
          <w:szCs w:val="22"/>
        </w:rPr>
        <w:t xml:space="preserve">hello@reins.cash</w:t>
      </w:r>
    </w:p>
    <w:p>
      <w:pPr>
        <w:spacing w:before="0" w:after="280"/>
      </w:pPr>
    </w:p>
    <w:p>
      <w:pPr>
        <w:pBdr>
          <w:bottom w:val="single" w:color="a0a0a0" w:sz="2" w:space="4"/>
        </w:pBdr>
        <w:spacing w:after="0" w:before="0"/>
      </w:pPr>
    </w:p>
    <w:p>
      <w:pPr>
        <w:spacing w:before="0" w:after="20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Funded by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Reins Financial, Inc.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0a0a0"/>
          <w:sz w:val="18"/>
          <w:szCs w:val="18"/>
        </w:rPr>
        <w:t xml:space="preserve">Preprint — Not peer reviewed</w:t>
      </w:r>
    </w:p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Abstract</w:t>
      </w:r>
    </w:p>
    <w:p>
      <w:pPr>
        <w:pBdr>
          <w:bottom w:val="single" w:color="cccccc" w:sz="4" w:space="6"/>
        </w:pBdr>
        <w:spacing w:after="0" w:before="0"/>
      </w:pPr>
    </w:p>
    <w:p>
      <w:pPr>
        <w:spacing w:before="0" w:after="240"/>
      </w:pPr>
    </w:p>
    <w:p>
      <w:pPr>
        <w:spacing w:before="0" w:after="240" w:line="36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transformer architecture demonstrated that attention — the ability to dynamically weight the relevance of all available information — is sufficient to achieve remarkable performance across a broad range of language tasks. We argue this framing contains a profound and underexamined limitation. Attention is a mechanism for </w:t>
      </w: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inclusion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: it learns what to look at. But human cognition derives equal power from its complement — deliberate, contextually-grounded ignorance: knowing what to </w:t>
      </w: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stop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looking at, and why. This is not sparsity, pruning, or mixture-of-experts selective activation. Those are computational efficiency strategies. What we describe is an epistemically richer operation: the ability to recognise that a piece of information, once fully understood, can be safely released from active consideration without loss — and that retaining it in the attention window actively distorts subsequent reasoning.</w:t>
      </w:r>
    </w:p>
    <w:p>
      <w:pPr>
        <w:spacing w:before="0" w:after="240" w:line="36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introduce three architectural primitives — Epistemic State Channels (ESC), Active Suppression Heads (ASH), and the Closure Register (CR) — collectively termed the Contextual Epistemic Release (CER) framework. We survey why current attention-based architectures are structurally incapable of informed forgetting, formalise the CER desiderata, describe the augmented architecture in terms of the baseline GPT-2 implementation, and propose an eight-test empirical evaluation battery designed to distinguish CER-driven suppression from coincidental sparsity.</w:t>
      </w:r>
    </w:p>
    <w:p>
      <w:pPr>
        <w:spacing w:before="0" w:after="240" w:line="36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argue that the hardest unsolved problems in language modelling may not be about knowing more, but about knowing — with precision and confidence — what can now safely be released. The capacity for informed ignorance may be uniquely human, and replicating it may require rethinking the stateless forward-pass paradigm entirely. </w:t>
      </w:r>
      <w:r>
        <w:rPr>
          <w:rFonts w:ascii="Arial" w:cs="Arial" w:eastAsia="Arial" w:hAnsi="Arial"/>
          <w:b/>
          <w:bCs/>
          <w:i/>
          <w:iCs/>
          <w:color w:val="4a4a8a"/>
          <w:sz w:val="22"/>
          <w:szCs w:val="22"/>
        </w:rPr>
        <w:t xml:space="preserve">Ashy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(our informal name for CER-augmented models) is proposed as a conceptual target and an experimental programme, not a finished solution.</w:t>
      </w:r>
    </w:p>
    <w:p>
      <w:pPr>
        <w:spacing w:before="0" w:after="200"/>
      </w:pPr>
    </w:p>
    <w:p>
      <w:pPr>
        <w:pBdr>
          <w:bottom w:val="single" w:color="cccccc" w:sz="2" w:space="4"/>
        </w:pBdr>
        <w:spacing w:after="0" w:before="0"/>
      </w:pPr>
    </w:p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Keywords: 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attention mechanisms, epistemic closure, active suppression, transformer architecture, selective ignorance, metacognition, Contextual Epistemic Release, Epistemic State Channels</w:t>
      </w:r>
    </w:p>
    <w:p>
      <w:r>
        <w:br w:type="page"/>
      </w:r>
    </w:p>
    <w:p>
      <w:pPr>
        <w:spacing w:before="480" w:after="2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Table of Contents</w:t>
      </w:r>
    </w:p>
    <w:p>
      <w:pPr>
        <w:pBdr>
          <w:bottom w:val="single" w:color="cccccc" w:sz="4" w:space="6"/>
        </w:pBdr>
        <w:spacing w:after="0" w:before="0"/>
      </w:pPr>
    </w:p>
    <w:p>
      <w:pPr>
        <w:spacing w:before="0" w:after="28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Abstract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1.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Introduction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1.1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Problem with Completeness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1.2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What This Paper Does and Does Not Claim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1.3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Why Now: Grokking, Long Context, and the Expert Problem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2.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What Attention Actually Does (And Doesn't Do)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2.1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Scaled Dot-Product Mechanism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2.2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Completeness Illusion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2.3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What Sparsity, Pruning and MoE Are Not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2.4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Structural Argument: Why Transformers Cannot Close Questions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3.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The Human Capability We Are Missing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3.1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Inhibition of Return and Higher-Order Closure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3.2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Metacognitive Closure: What Experts Do That Models Don't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3.3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Asymmetry of Knowing and Having-Known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3.4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Why This May Be Uniquely Human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4.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Contextual Epistemic Release: A Theoretical Framework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4.1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Four CER Desiderata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4.2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Closure Judgments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4.3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Release Without Loss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4.4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Conditional Restoration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4.5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Representing the Shape of One's Own Ignorance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5.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Architectural Primitives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Epistemic State Channels (ESC)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5.1.1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Motivation and Design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5.1.2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Implementation in GPT-2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5.1.3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Training Signal and Auxiliary Loss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5.1.4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Expected ESC Score Dynamics Across Layers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Active Suppression Heads (ASH)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5.2.1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Why Sigmoid, Not Softmax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5.2.2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Integration Into Standard Attention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5.2.3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ASH as Inverse Attention: A Formal Description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5.2.4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Parameter Overhead and Head Allocation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Closure Register (CR)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5.3.1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Motivation: Where Does Released Content Go?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5.3.2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Soft-Write Mechanism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5.3.3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Residual Injection at Scale 0.1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72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5.3.4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Extension of the KV-Cache for Persistent CR State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CER Block: Full Data Flow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5.5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Total Parameter Overhead: ~5.4M (4.6% of GPT-2 117M)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6.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The ASHY Model: A Named Experimental Programme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6.1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Why 'Ashy': Naming the CER-Augmented Transformer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6.2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Ashy-Small: GPT-2 117M as Proof-of-Concept Vehicle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6.3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Training Protocol and Curriculum Scheduling of CER Loss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6.4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Expected Scaling Behaviour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7.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Empirical Test Battery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Design Principles for CER Evaluation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T1 — Grokking Speed Test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T2 — Garden Path Recovery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T3 — Long Context Noise Accumulation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7.5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T4 — Redundancy Tolerance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7.6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T5 — Closure Register Probe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7.7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T6 — Suppression Calibration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7.8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T7 — Chekhov's Gun (Adversarial)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7.9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T8 — Cross-Layer ESC Flow Analysis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7.10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Expected Metric Deltas: Summary Table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8.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Why This Might Be Uniquely Difficult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8.1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Embodiment, Time, and the Phenomenology of Closure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8.2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Persistent Belief State Problem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8.3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Frame Problem: Its Intractability and Our Heuristics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8.4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Failure Modes and Falsification Conditions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9.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Related Work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9.1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Sparse and Efficient Attention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9.2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Memory-Augmented Neural Networks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9.3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Grokking and Phase Transitions in Neural Networks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9.4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Cognitive Science: Inhibition of Return and Metacognition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9.5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Mixture of Experts and Selective Activation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9.6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What CER Is Not: Distinguishing from Prior Work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>10.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Conclusion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10.1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The Virtue of Forgetting Well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10.2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CER as a Research Direction, Not a Solution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tabs>
          <w:tab w:val="right" w:pos="8640" w:leader="dot"/>
        </w:tabs>
        <w:spacing w:before="80" w:after="0"/>
        <w:ind w:left="360"/>
      </w:pPr>
      <w:r>
        <w:rPr>
          <w:rFonts w:ascii="Arial" w:cs="Arial" w:eastAsia="Arial" w:hAnsi="Arial"/>
          <w:b w:val="false"/>
          <w:bCs w:val="false"/>
          <w:color w:val="4a4a8a"/>
          <w:sz w:val="20"/>
          <w:szCs w:val="20"/>
        </w:rPr>
        <w:t xml:space="preserve">10.3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Open Questions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a0a0a0"/>
          <w:sz w:val="20"/>
          <w:szCs w:val="20"/>
        </w:rPr>
        <w:t xml:space="preserve">·</w:t>
      </w:r>
    </w:p>
    <w:p>
      <w:pPr>
        <w:spacing w:before="60" w:after="0"/>
      </w:pP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Appendix A — GPT-2 model_cer.py: Full Annotated Source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Appendix B — Test Suite test_suite.py: Full Protocol Specifications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Appendix C — CER Auxiliary Loss: Formal Derivation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tabs>
          <w:tab w:val="right" w:pos="8640" w:leader="dot"/>
        </w:tabs>
        <w:spacing w:before="200" w:after="0"/>
        <w:ind w:left="0"/>
      </w:pPr>
      <w:r>
        <w:rPr>
          <w:rFonts w:ascii="Arial" w:cs="Arial" w:eastAsia="Arial" w:hAnsi="Arial"/>
          <w:b/>
          <w:bCs/>
          <w:color w:val="4a4a8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References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a0a0a0"/>
          <w:sz w:val="22"/>
          <w:szCs w:val="22"/>
        </w:rPr>
        <w:t xml:space="preserve">·</w:t>
      </w:r>
    </w:p>
    <w:p>
      <w:pPr>
        <w:spacing w:before="0" w:after="200"/>
      </w:pPr>
    </w:p>
    <w:p>
      <w:pPr>
        <w:pBdr>
          <w:bottom w:val="single" w:color="cccccc" w:sz="2" w:space="4"/>
        </w:pBdr>
        <w:spacing w:after="0" w:before="0"/>
      </w:pP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4a4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b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2026-03-24T00:28:14.520Z</dcterms:created>
  <dcterms:modified xsi:type="dcterms:W3CDTF">2026-03-24T00:28:14.521Z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