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filament-brands-quality-ranking"/>
    <w:p>
      <w:pPr>
        <w:pStyle w:val="Heading1"/>
      </w:pPr>
      <w:r>
        <w:t xml:space="preserve">Filament Brands – Quality Ranking</w:t>
      </w:r>
    </w:p>
    <w:p>
      <w:pPr>
        <w:pStyle w:val="BlockText"/>
      </w:pPr>
      <w:r>
        <w:t xml:space="preserve">Purpose: High-level quality and reliability ranking of filament brands.</w:t>
      </w:r>
      <w:r>
        <w:t xml:space="preserve"> </w:t>
      </w:r>
      <w:r>
        <w:t xml:space="preserve">Scope: Focus on consistency, QC, and real-world usability. Not material-specific (yet).</w:t>
      </w:r>
    </w:p>
    <w:bookmarkStart w:id="20" w:name="top-tier-consistently-high-quality"/>
    <w:p>
      <w:pPr>
        <w:pStyle w:val="Heading2"/>
      </w:pPr>
      <w:r>
        <w:t xml:space="preserve">Top Tier (Consistently High Quality)</w:t>
      </w:r>
    </w:p>
    <w:p>
      <w:pPr>
        <w:pStyle w:val="Compact"/>
        <w:numPr>
          <w:ilvl w:val="0"/>
          <w:numId w:val="1001"/>
        </w:numPr>
      </w:pPr>
      <w:r>
        <w:t xml:space="preserve">Bambu Lab</w:t>
      </w:r>
    </w:p>
    <w:p>
      <w:pPr>
        <w:pStyle w:val="Compact"/>
        <w:numPr>
          <w:ilvl w:val="0"/>
          <w:numId w:val="1001"/>
        </w:numPr>
      </w:pPr>
      <w:r>
        <w:t xml:space="preserve">eSUN</w:t>
      </w:r>
    </w:p>
    <w:p>
      <w:pPr>
        <w:pStyle w:val="Compact"/>
        <w:numPr>
          <w:ilvl w:val="0"/>
          <w:numId w:val="1001"/>
        </w:numPr>
      </w:pPr>
      <w:r>
        <w:t xml:space="preserve">Overture</w:t>
      </w:r>
    </w:p>
    <w:bookmarkEnd w:id="20"/>
    <w:bookmarkStart w:id="21" w:name="upper-mid-tier-very-good-minor-variance"/>
    <w:p>
      <w:pPr>
        <w:pStyle w:val="Heading2"/>
      </w:pPr>
      <w:r>
        <w:t xml:space="preserve">Upper-Mid Tier (Very Good, Minor Variance)</w:t>
      </w:r>
    </w:p>
    <w:p>
      <w:pPr>
        <w:pStyle w:val="Compact"/>
        <w:numPr>
          <w:ilvl w:val="0"/>
          <w:numId w:val="1002"/>
        </w:numPr>
      </w:pPr>
      <w:r>
        <w:t xml:space="preserve">QIDI Technology</w:t>
      </w:r>
    </w:p>
    <w:p>
      <w:pPr>
        <w:pStyle w:val="Compact"/>
        <w:numPr>
          <w:ilvl w:val="0"/>
          <w:numId w:val="1002"/>
        </w:numPr>
      </w:pPr>
      <w:r>
        <w:t xml:space="preserve">Elegoo</w:t>
      </w:r>
    </w:p>
    <w:p>
      <w:pPr>
        <w:pStyle w:val="Compact"/>
        <w:numPr>
          <w:ilvl w:val="0"/>
          <w:numId w:val="1002"/>
        </w:numPr>
      </w:pPr>
      <w:r>
        <w:t xml:space="preserve">Flashforge</w:t>
      </w:r>
    </w:p>
    <w:bookmarkEnd w:id="21"/>
    <w:bookmarkStart w:id="22" w:name="mid-tier-good-consumer-grade-reliable"/>
    <w:p>
      <w:pPr>
        <w:pStyle w:val="Heading2"/>
      </w:pPr>
      <w:r>
        <w:t xml:space="preserve">Mid Tier (Good, Consumer-Grade Reliable)</w:t>
      </w:r>
    </w:p>
    <w:p>
      <w:pPr>
        <w:pStyle w:val="Compact"/>
        <w:numPr>
          <w:ilvl w:val="0"/>
          <w:numId w:val="1003"/>
        </w:numPr>
      </w:pPr>
      <w:r>
        <w:t xml:space="preserve">SUNLU</w:t>
      </w:r>
    </w:p>
    <w:p>
      <w:pPr>
        <w:pStyle w:val="Compact"/>
        <w:numPr>
          <w:ilvl w:val="0"/>
          <w:numId w:val="1003"/>
        </w:numPr>
      </w:pPr>
      <w:r>
        <w:t xml:space="preserve">Creality</w:t>
      </w:r>
    </w:p>
    <w:p>
      <w:pPr>
        <w:pStyle w:val="Compact"/>
        <w:numPr>
          <w:ilvl w:val="0"/>
          <w:numId w:val="1003"/>
        </w:numPr>
      </w:pPr>
      <w:r>
        <w:t xml:space="preserve">Anycubic</w:t>
      </w:r>
    </w:p>
    <w:bookmarkEnd w:id="22"/>
    <w:bookmarkStart w:id="23" w:name="mid-low-tier-usable-more-variance"/>
    <w:p>
      <w:pPr>
        <w:pStyle w:val="Heading2"/>
      </w:pPr>
      <w:r>
        <w:t xml:space="preserve">Mid-Low Tier (Usable, More Variance)</w:t>
      </w:r>
    </w:p>
    <w:p>
      <w:pPr>
        <w:pStyle w:val="Compact"/>
        <w:numPr>
          <w:ilvl w:val="0"/>
          <w:numId w:val="1004"/>
        </w:numPr>
      </w:pPr>
      <w:r>
        <w:t xml:space="preserve">Kingroon</w:t>
      </w:r>
    </w:p>
    <w:p>
      <w:pPr>
        <w:pStyle w:val="Compact"/>
        <w:numPr>
          <w:ilvl w:val="0"/>
          <w:numId w:val="1004"/>
        </w:numPr>
      </w:pPr>
      <w:r>
        <w:t xml:space="preserve">Tecbears</w:t>
      </w:r>
    </w:p>
    <w:p>
      <w:pPr>
        <w:pStyle w:val="Compact"/>
        <w:numPr>
          <w:ilvl w:val="0"/>
          <w:numId w:val="1004"/>
        </w:numPr>
      </w:pPr>
      <w:r>
        <w:t xml:space="preserve">Ziro</w:t>
      </w:r>
    </w:p>
    <w:bookmarkEnd w:id="23"/>
    <w:bookmarkStart w:id="24" w:name="specialty-niche-tier"/>
    <w:p>
      <w:pPr>
        <w:pStyle w:val="Heading2"/>
      </w:pPr>
      <w:r>
        <w:t xml:space="preserve">Specialty / Niche Tier</w:t>
      </w:r>
    </w:p>
    <w:p>
      <w:pPr>
        <w:pStyle w:val="Compact"/>
        <w:numPr>
          <w:ilvl w:val="0"/>
          <w:numId w:val="1005"/>
        </w:numPr>
      </w:pPr>
      <w:r>
        <w:t xml:space="preserve">Amolen</w:t>
      </w:r>
    </w:p>
    <w:p>
      <w:pPr>
        <w:pStyle w:val="Compact"/>
        <w:numPr>
          <w:ilvl w:val="0"/>
          <w:numId w:val="1005"/>
        </w:numPr>
      </w:pPr>
      <w:r>
        <w:t xml:space="preserve">Gizmo Dorks</w:t>
      </w:r>
    </w:p>
    <w:bookmarkEnd w:id="24"/>
    <w:bookmarkStart w:id="25" w:name="budget-inconsistent-tier"/>
    <w:p>
      <w:pPr>
        <w:pStyle w:val="Heading2"/>
      </w:pPr>
      <w:r>
        <w:t xml:space="preserve">Budget / Inconsistent Tier</w:t>
      </w:r>
    </w:p>
    <w:p>
      <w:pPr>
        <w:pStyle w:val="Compact"/>
        <w:numPr>
          <w:ilvl w:val="0"/>
          <w:numId w:val="1006"/>
        </w:numPr>
      </w:pPr>
      <w:r>
        <w:t xml:space="preserve">Comgrow</w:t>
      </w:r>
    </w:p>
    <w:p>
      <w:pPr>
        <w:pStyle w:val="Compact"/>
        <w:numPr>
          <w:ilvl w:val="0"/>
          <w:numId w:val="1006"/>
        </w:numPr>
      </w:pPr>
      <w:r>
        <w:t xml:space="preserve">Yoopai</w:t>
      </w:r>
    </w:p>
    <w:bookmarkEnd w:id="25"/>
    <w:bookmarkStart w:id="26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7"/>
        </w:numPr>
      </w:pPr>
      <w:r>
        <w:t xml:space="preserve">Grouping indicates brands that are effectively equivalent in quality.</w:t>
      </w:r>
    </w:p>
    <w:p>
      <w:pPr>
        <w:pStyle w:val="Compact"/>
        <w:numPr>
          <w:ilvl w:val="0"/>
          <w:numId w:val="1007"/>
        </w:numPr>
      </w:pPr>
      <w:r>
        <w:t xml:space="preserve">Brand quality can vary by material line and color.</w:t>
      </w:r>
    </w:p>
    <w:p>
      <w:pPr>
        <w:pStyle w:val="Compact"/>
        <w:numPr>
          <w:ilvl w:val="0"/>
          <w:numId w:val="1007"/>
        </w:numPr>
      </w:pPr>
      <w:r>
        <w:t xml:space="preserve">This ranking will be cross-referenced later by material and finish.</w:t>
      </w:r>
    </w:p>
    <w:bookmarkEnd w:id="26"/>
    <w:bookmarkStart w:id="27" w:name="topics-to-expand-later"/>
    <w:p>
      <w:pPr>
        <w:pStyle w:val="Heading2"/>
      </w:pPr>
      <w:r>
        <w:t xml:space="preserve">Topics to Expand Later</w:t>
      </w:r>
    </w:p>
    <w:p>
      <w:pPr>
        <w:pStyle w:val="Compact"/>
        <w:numPr>
          <w:ilvl w:val="0"/>
          <w:numId w:val="1008"/>
        </w:numPr>
      </w:pPr>
      <w:r>
        <w:t xml:space="preserve">Brand-by-material rankings (PLA, PETG, TPU)</w:t>
      </w:r>
    </w:p>
    <w:p>
      <w:pPr>
        <w:pStyle w:val="Compact"/>
        <w:numPr>
          <w:ilvl w:val="0"/>
          <w:numId w:val="1008"/>
        </w:numPr>
      </w:pPr>
      <w:r>
        <w:t xml:space="preserve">Specialty material strengths by brand</w:t>
      </w:r>
    </w:p>
    <w:p>
      <w:pPr>
        <w:pStyle w:val="Compact"/>
        <w:numPr>
          <w:ilvl w:val="0"/>
          <w:numId w:val="1008"/>
        </w:numPr>
      </w:pPr>
      <w:r>
        <w:t xml:space="preserve">Value vs premium comparison</w:t>
      </w:r>
    </w:p>
    <w:p>
      <w:pPr>
        <w:pStyle w:val="Compact"/>
        <w:numPr>
          <w:ilvl w:val="0"/>
          <w:numId w:val="1008"/>
        </w:numPr>
      </w:pPr>
      <w:r>
        <w:t xml:space="preserve">Long-term consistency tracking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2026-03-26T22:58:51Z</dcterms:created>
  <dcterms:modified xsi:type="dcterms:W3CDTF">2026-03-26T22:58:51Z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