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filament-colors-popularity-rankings"/>
    <w:p>
      <w:pPr>
        <w:pStyle w:val="Heading1"/>
      </w:pPr>
      <w:r>
        <w:t xml:space="preserve">Filament Colors – Popularity Rankings</w:t>
      </w:r>
    </w:p>
    <w:p>
      <w:pPr>
        <w:pStyle w:val="BlockText"/>
      </w:pPr>
      <w:r>
        <w:t xml:space="preserve">Purpose: Track commonly used filament colors by finish.</w:t>
      </w:r>
      <w:r>
        <w:t xml:space="preserve"> </w:t>
      </w:r>
      <w:r>
        <w:t xml:space="preserve">Scope: Popularity-based, not aesthetic judgment.</w:t>
      </w:r>
    </w:p>
    <w:bookmarkStart w:id="24" w:name="matte-most-popular-colors"/>
    <w:p>
      <w:pPr>
        <w:pStyle w:val="Heading2"/>
      </w:pPr>
      <w:r>
        <w:t xml:space="preserve">Matte – Most Popular Colors</w:t>
      </w:r>
    </w:p>
    <w:bookmarkStart w:id="20" w:name="tier-1-most-used"/>
    <w:p>
      <w:pPr>
        <w:pStyle w:val="Heading3"/>
      </w:pPr>
      <w:r>
        <w:t xml:space="preserve">Tier 1 (Most Used)</w:t>
      </w:r>
    </w:p>
    <w:p>
      <w:pPr>
        <w:pStyle w:val="Compact"/>
        <w:numPr>
          <w:ilvl w:val="0"/>
          <w:numId w:val="1001"/>
        </w:numPr>
      </w:pPr>
      <w:r>
        <w:t xml:space="preserve">Black</w:t>
      </w:r>
    </w:p>
    <w:p>
      <w:pPr>
        <w:pStyle w:val="Compact"/>
        <w:numPr>
          <w:ilvl w:val="0"/>
          <w:numId w:val="1001"/>
        </w:numPr>
      </w:pPr>
      <w:r>
        <w:t xml:space="preserve">White</w:t>
      </w:r>
    </w:p>
    <w:p>
      <w:pPr>
        <w:pStyle w:val="Compact"/>
        <w:numPr>
          <w:ilvl w:val="0"/>
          <w:numId w:val="1001"/>
        </w:numPr>
      </w:pPr>
      <w:r>
        <w:t xml:space="preserve">Gray (Light / Neutral / Dark)</w:t>
      </w:r>
    </w:p>
    <w:bookmarkEnd w:id="20"/>
    <w:bookmarkStart w:id="21" w:name="tier-2-very-common"/>
    <w:p>
      <w:pPr>
        <w:pStyle w:val="Heading3"/>
      </w:pPr>
      <w:r>
        <w:t xml:space="preserve">Tier 2 (Very Common)</w:t>
      </w:r>
    </w:p>
    <w:p>
      <w:pPr>
        <w:pStyle w:val="Compact"/>
        <w:numPr>
          <w:ilvl w:val="0"/>
          <w:numId w:val="1002"/>
        </w:numPr>
      </w:pPr>
      <w:r>
        <w:t xml:space="preserve">Army Green / Olive</w:t>
      </w:r>
    </w:p>
    <w:p>
      <w:pPr>
        <w:pStyle w:val="Compact"/>
        <w:numPr>
          <w:ilvl w:val="0"/>
          <w:numId w:val="1002"/>
        </w:numPr>
      </w:pPr>
      <w:r>
        <w:t xml:space="preserve">Dark Blue / Navy</w:t>
      </w:r>
    </w:p>
    <w:p>
      <w:pPr>
        <w:pStyle w:val="Compact"/>
        <w:numPr>
          <w:ilvl w:val="0"/>
          <w:numId w:val="1002"/>
        </w:numPr>
      </w:pPr>
      <w:r>
        <w:t xml:space="preserve">Red</w:t>
      </w:r>
    </w:p>
    <w:p>
      <w:pPr>
        <w:pStyle w:val="Compact"/>
        <w:numPr>
          <w:ilvl w:val="0"/>
          <w:numId w:val="1002"/>
        </w:numPr>
      </w:pPr>
      <w:r>
        <w:t xml:space="preserve">Brown</w:t>
      </w:r>
    </w:p>
    <w:bookmarkEnd w:id="21"/>
    <w:bookmarkStart w:id="22" w:name="tier-3-moderate"/>
    <w:p>
      <w:pPr>
        <w:pStyle w:val="Heading3"/>
      </w:pPr>
      <w:r>
        <w:t xml:space="preserve">Tier 3 (Moderate)</w:t>
      </w:r>
    </w:p>
    <w:p>
      <w:pPr>
        <w:pStyle w:val="Compact"/>
        <w:numPr>
          <w:ilvl w:val="0"/>
          <w:numId w:val="1003"/>
        </w:numPr>
      </w:pPr>
      <w:r>
        <w:t xml:space="preserve">Beige / Sand / Tan</w:t>
      </w:r>
    </w:p>
    <w:p>
      <w:pPr>
        <w:pStyle w:val="Compact"/>
        <w:numPr>
          <w:ilvl w:val="0"/>
          <w:numId w:val="1003"/>
        </w:numPr>
      </w:pPr>
      <w:r>
        <w:t xml:space="preserve">Orange</w:t>
      </w:r>
    </w:p>
    <w:p>
      <w:pPr>
        <w:pStyle w:val="Compact"/>
        <w:numPr>
          <w:ilvl w:val="0"/>
          <w:numId w:val="1003"/>
        </w:numPr>
      </w:pPr>
      <w:r>
        <w:t xml:space="preserve">Yellow</w:t>
      </w:r>
    </w:p>
    <w:p>
      <w:pPr>
        <w:pStyle w:val="Compact"/>
        <w:numPr>
          <w:ilvl w:val="0"/>
          <w:numId w:val="1003"/>
        </w:numPr>
      </w:pPr>
      <w:r>
        <w:t xml:space="preserve">Purple</w:t>
      </w:r>
    </w:p>
    <w:bookmarkEnd w:id="22"/>
    <w:bookmarkStart w:id="23" w:name="tier-4-niche-but-steady"/>
    <w:p>
      <w:pPr>
        <w:pStyle w:val="Heading3"/>
      </w:pPr>
      <w:r>
        <w:t xml:space="preserve">Tier 4 (Niche but Steady)</w:t>
      </w:r>
    </w:p>
    <w:p>
      <w:pPr>
        <w:pStyle w:val="Compact"/>
        <w:numPr>
          <w:ilvl w:val="0"/>
          <w:numId w:val="1004"/>
        </w:numPr>
      </w:pPr>
      <w:r>
        <w:t xml:space="preserve">Pink</w:t>
      </w:r>
    </w:p>
    <w:p>
      <w:pPr>
        <w:pStyle w:val="Compact"/>
        <w:numPr>
          <w:ilvl w:val="0"/>
          <w:numId w:val="1004"/>
        </w:numPr>
      </w:pPr>
      <w:r>
        <w:t xml:space="preserve">Teal / Cyan</w:t>
      </w:r>
    </w:p>
    <w:p>
      <w:pPr>
        <w:pStyle w:val="Compact"/>
        <w:numPr>
          <w:ilvl w:val="0"/>
          <w:numId w:val="1004"/>
        </w:numPr>
      </w:pPr>
      <w:r>
        <w:t xml:space="preserve">Pastels (Mint, Baby Blue, Lavender)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gloss-most-popular-colors"/>
    <w:p>
      <w:pPr>
        <w:pStyle w:val="Heading2"/>
      </w:pPr>
      <w:r>
        <w:t xml:space="preserve">Gloss – Most Popular Colors</w:t>
      </w:r>
    </w:p>
    <w:bookmarkStart w:id="25" w:name="tier-1-clear-winners"/>
    <w:p>
      <w:pPr>
        <w:pStyle w:val="Heading3"/>
      </w:pPr>
      <w:r>
        <w:t xml:space="preserve">Tier 1 (Clear Winners)</w:t>
      </w:r>
    </w:p>
    <w:p>
      <w:pPr>
        <w:pStyle w:val="Compact"/>
        <w:numPr>
          <w:ilvl w:val="0"/>
          <w:numId w:val="1005"/>
        </w:numPr>
      </w:pPr>
      <w:r>
        <w:t xml:space="preserve">Black</w:t>
      </w:r>
    </w:p>
    <w:p>
      <w:pPr>
        <w:pStyle w:val="Compact"/>
        <w:numPr>
          <w:ilvl w:val="0"/>
          <w:numId w:val="1005"/>
        </w:numPr>
      </w:pPr>
      <w:r>
        <w:t xml:space="preserve">White</w:t>
      </w:r>
    </w:p>
    <w:p>
      <w:pPr>
        <w:pStyle w:val="Compact"/>
        <w:numPr>
          <w:ilvl w:val="0"/>
          <w:numId w:val="1005"/>
        </w:numPr>
      </w:pPr>
      <w:r>
        <w:t xml:space="preserve">Silver / Gray (Gloss or Metallic)</w:t>
      </w:r>
    </w:p>
    <w:bookmarkEnd w:id="25"/>
    <w:bookmarkStart w:id="26" w:name="tier-2-very-popular"/>
    <w:p>
      <w:pPr>
        <w:pStyle w:val="Heading3"/>
      </w:pPr>
      <w:r>
        <w:t xml:space="preserve">Tier 2 (Very Popular)</w:t>
      </w:r>
    </w:p>
    <w:p>
      <w:pPr>
        <w:pStyle w:val="Compact"/>
        <w:numPr>
          <w:ilvl w:val="0"/>
          <w:numId w:val="1006"/>
        </w:numPr>
      </w:pPr>
      <w:r>
        <w:t xml:space="preserve">Red</w:t>
      </w:r>
    </w:p>
    <w:p>
      <w:pPr>
        <w:pStyle w:val="Compact"/>
        <w:numPr>
          <w:ilvl w:val="0"/>
          <w:numId w:val="1006"/>
        </w:numPr>
      </w:pPr>
      <w:r>
        <w:t xml:space="preserve">Blue</w:t>
      </w:r>
    </w:p>
    <w:p>
      <w:pPr>
        <w:pStyle w:val="Compact"/>
        <w:numPr>
          <w:ilvl w:val="0"/>
          <w:numId w:val="1006"/>
        </w:numPr>
      </w:pPr>
      <w:r>
        <w:t xml:space="preserve">Gold</w:t>
      </w:r>
    </w:p>
    <w:bookmarkEnd w:id="26"/>
    <w:bookmarkStart w:id="27" w:name="tier-3-moderate-1"/>
    <w:p>
      <w:pPr>
        <w:pStyle w:val="Heading3"/>
      </w:pPr>
      <w:r>
        <w:t xml:space="preserve">Tier 3 (Moderate)</w:t>
      </w:r>
    </w:p>
    <w:p>
      <w:pPr>
        <w:pStyle w:val="Compact"/>
        <w:numPr>
          <w:ilvl w:val="0"/>
          <w:numId w:val="1007"/>
        </w:numPr>
      </w:pPr>
      <w:r>
        <w:t xml:space="preserve">Green</w:t>
      </w:r>
    </w:p>
    <w:p>
      <w:pPr>
        <w:pStyle w:val="Compact"/>
        <w:numPr>
          <w:ilvl w:val="0"/>
          <w:numId w:val="1007"/>
        </w:numPr>
      </w:pPr>
      <w:r>
        <w:t xml:space="preserve">Purple</w:t>
      </w:r>
    </w:p>
    <w:p>
      <w:pPr>
        <w:pStyle w:val="Compact"/>
        <w:numPr>
          <w:ilvl w:val="0"/>
          <w:numId w:val="1007"/>
        </w:numPr>
      </w:pPr>
      <w:r>
        <w:t xml:space="preserve">Orange</w:t>
      </w:r>
    </w:p>
    <w:bookmarkEnd w:id="27"/>
    <w:bookmarkStart w:id="28" w:name="tier-4-decorative-specialty"/>
    <w:p>
      <w:pPr>
        <w:pStyle w:val="Heading3"/>
      </w:pPr>
      <w:r>
        <w:t xml:space="preserve">Tier 4 (Decorative / Specialty)</w:t>
      </w:r>
    </w:p>
    <w:p>
      <w:pPr>
        <w:pStyle w:val="Compact"/>
        <w:numPr>
          <w:ilvl w:val="0"/>
          <w:numId w:val="1008"/>
        </w:numPr>
      </w:pPr>
      <w:r>
        <w:t xml:space="preserve">Pink</w:t>
      </w:r>
    </w:p>
    <w:p>
      <w:pPr>
        <w:pStyle w:val="Compact"/>
        <w:numPr>
          <w:ilvl w:val="0"/>
          <w:numId w:val="1008"/>
        </w:numPr>
      </w:pPr>
      <w:r>
        <w:t xml:space="preserve">Teal</w:t>
      </w:r>
    </w:p>
    <w:p>
      <w:pPr>
        <w:pStyle w:val="Compact"/>
        <w:numPr>
          <w:ilvl w:val="0"/>
          <w:numId w:val="1008"/>
        </w:numPr>
      </w:pPr>
      <w:r>
        <w:t xml:space="preserve">Specialty Gloss Colors</w:t>
      </w:r>
    </w:p>
    <w:bookmarkEnd w:id="28"/>
    <w:bookmarkEnd w:id="29"/>
    <w:bookmarkStart w:id="3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9"/>
        </w:numPr>
      </w:pPr>
      <w:r>
        <w:t xml:space="preserve">Brand grouping reflects consistency and QC, not absolute performance.</w:t>
      </w:r>
    </w:p>
    <w:p>
      <w:pPr>
        <w:pStyle w:val="Compact"/>
        <w:numPr>
          <w:ilvl w:val="0"/>
          <w:numId w:val="1009"/>
        </w:numPr>
      </w:pPr>
      <w:r>
        <w:t xml:space="preserve">Individual material lines within a brand can differ significantly.</w:t>
      </w:r>
    </w:p>
    <w:p>
      <w:r>
        <w:pict>
          <v:rect style="width:0;height:1.5pt" o:hralign="center" o:hrstd="t" o:hr="t"/>
        </w:pict>
      </w:r>
    </w:p>
    <w:bookmarkEnd w:id="30"/>
    <w:bookmarkStart w:id="36" w:name="overlays-practical-implications-by-brand"/>
    <w:p>
      <w:pPr>
        <w:pStyle w:val="Heading2"/>
      </w:pPr>
      <w:r>
        <w:t xml:space="preserve">Overlays – Practical Implications by Brand</w:t>
      </w:r>
    </w:p>
    <w:p>
      <w:pPr>
        <w:pStyle w:val="BlockText"/>
      </w:pPr>
      <w:r>
        <w:t xml:space="preserve">These overlays add buying and usage context.</w:t>
      </w:r>
      <w:r>
        <w:t xml:space="preserve"> </w:t>
      </w:r>
      <w:r>
        <w:t xml:space="preserve">Drying specifics and material resistance are intentionally handled elsewhere.</w:t>
      </w:r>
    </w:p>
    <w:bookmarkStart w:id="31" w:name="safe-buy-overlay-low-surprise-risk"/>
    <w:p>
      <w:pPr>
        <w:pStyle w:val="Heading3"/>
      </w:pPr>
      <w:r>
        <w:t xml:space="preserve">“Safe Buy”</w:t>
      </w:r>
      <w:r>
        <w:t xml:space="preserve"> </w:t>
      </w:r>
      <w:r>
        <w:t xml:space="preserve">Overlay (Low Surprise Risk)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Very Safe / Predictable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Bambu Lab</w:t>
      </w:r>
    </w:p>
    <w:p>
      <w:pPr>
        <w:pStyle w:val="Compact"/>
        <w:numPr>
          <w:ilvl w:val="1"/>
          <w:numId w:val="1011"/>
        </w:numPr>
      </w:pPr>
      <w:r>
        <w:t xml:space="preserve">Prusament</w:t>
      </w:r>
    </w:p>
    <w:p>
      <w:pPr>
        <w:pStyle w:val="Compact"/>
        <w:numPr>
          <w:ilvl w:val="1"/>
          <w:numId w:val="1011"/>
        </w:numPr>
      </w:pPr>
      <w:r>
        <w:t xml:space="preserve">Polymaker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Generally Safe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eSUN</w:t>
      </w:r>
    </w:p>
    <w:p>
      <w:pPr>
        <w:pStyle w:val="Compact"/>
        <w:numPr>
          <w:ilvl w:val="1"/>
          <w:numId w:val="1012"/>
        </w:numPr>
      </w:pPr>
      <w:r>
        <w:t xml:space="preserve">Overture</w:t>
      </w:r>
    </w:p>
    <w:p>
      <w:pPr>
        <w:pStyle w:val="Compact"/>
        <w:numPr>
          <w:ilvl w:val="1"/>
          <w:numId w:val="1012"/>
        </w:numPr>
      </w:pPr>
      <w:r>
        <w:t xml:space="preserve">Flashforge</w:t>
      </w:r>
    </w:p>
    <w:bookmarkEnd w:id="31"/>
    <w:bookmarkStart w:id="32" w:name="value-vs-premium-overlay"/>
    <w:p>
      <w:pPr>
        <w:pStyle w:val="Heading3"/>
      </w:pPr>
      <w:r>
        <w:t xml:space="preserve">Value vs Premium Overlay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Premium (Pay for Consistency)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Prusament</w:t>
      </w:r>
    </w:p>
    <w:p>
      <w:pPr>
        <w:pStyle w:val="Compact"/>
        <w:numPr>
          <w:ilvl w:val="1"/>
          <w:numId w:val="1014"/>
        </w:numPr>
      </w:pPr>
      <w:r>
        <w:t xml:space="preserve">Polymaker</w:t>
      </w:r>
    </w:p>
    <w:p>
      <w:pPr>
        <w:pStyle w:val="Compact"/>
        <w:numPr>
          <w:ilvl w:val="1"/>
          <w:numId w:val="1014"/>
        </w:numPr>
      </w:pPr>
      <w:r>
        <w:t xml:space="preserve">Bambu Lab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 Value (Best Cost-to-Quality)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eSUN</w:t>
      </w:r>
    </w:p>
    <w:p>
      <w:pPr>
        <w:pStyle w:val="Compact"/>
        <w:numPr>
          <w:ilvl w:val="1"/>
          <w:numId w:val="1015"/>
        </w:numPr>
      </w:pPr>
      <w:r>
        <w:t xml:space="preserve">Overture</w:t>
      </w:r>
    </w:p>
    <w:p>
      <w:pPr>
        <w:pStyle w:val="Compact"/>
        <w:numPr>
          <w:ilvl w:val="1"/>
          <w:numId w:val="1015"/>
        </w:numPr>
      </w:pPr>
      <w:r>
        <w:t xml:space="preserve">Elegoo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Budget (Expect Variance)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SUNLU</w:t>
      </w:r>
    </w:p>
    <w:p>
      <w:pPr>
        <w:pStyle w:val="Compact"/>
        <w:numPr>
          <w:ilvl w:val="1"/>
          <w:numId w:val="1016"/>
        </w:numPr>
      </w:pPr>
      <w:r>
        <w:t xml:space="preserve">Creality</w:t>
      </w:r>
    </w:p>
    <w:p>
      <w:pPr>
        <w:pStyle w:val="Compact"/>
        <w:numPr>
          <w:ilvl w:val="1"/>
          <w:numId w:val="1016"/>
        </w:numPr>
      </w:pPr>
      <w:r>
        <w:t xml:space="preserve">Anycubic</w:t>
      </w:r>
    </w:p>
    <w:p>
      <w:pPr>
        <w:pStyle w:val="Compact"/>
        <w:numPr>
          <w:ilvl w:val="1"/>
          <w:numId w:val="1016"/>
        </w:numPr>
      </w:pPr>
      <w:r>
        <w:t xml:space="preserve">Deeplee</w:t>
      </w:r>
    </w:p>
    <w:bookmarkEnd w:id="32"/>
    <w:bookmarkStart w:id="33" w:name="material-strengths-by-brand-high-level"/>
    <w:p>
      <w:pPr>
        <w:pStyle w:val="Heading3"/>
      </w:pPr>
      <w:r>
        <w:t xml:space="preserve">Material Strengths by Brand (High-Level)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 / PLA+ Standouts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eSUN</w:t>
      </w:r>
    </w:p>
    <w:p>
      <w:pPr>
        <w:pStyle w:val="Compact"/>
        <w:numPr>
          <w:ilvl w:val="1"/>
          <w:numId w:val="1018"/>
        </w:numPr>
      </w:pPr>
      <w:r>
        <w:t xml:space="preserve">Bambu Lab</w:t>
      </w:r>
    </w:p>
    <w:p>
      <w:pPr>
        <w:pStyle w:val="Compact"/>
        <w:numPr>
          <w:ilvl w:val="1"/>
          <w:numId w:val="1018"/>
        </w:numPr>
      </w:pPr>
      <w:r>
        <w:t xml:space="preserve">Overture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PETG Standouts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Overture</w:t>
      </w:r>
    </w:p>
    <w:p>
      <w:pPr>
        <w:pStyle w:val="Compact"/>
        <w:numPr>
          <w:ilvl w:val="1"/>
          <w:numId w:val="1019"/>
        </w:numPr>
      </w:pPr>
      <w:r>
        <w:t xml:space="preserve">Polymaker</w:t>
      </w:r>
    </w:p>
    <w:p>
      <w:pPr>
        <w:pStyle w:val="Compact"/>
        <w:numPr>
          <w:ilvl w:val="1"/>
          <w:numId w:val="1019"/>
        </w:numPr>
      </w:pPr>
      <w:r>
        <w:t xml:space="preserve">eSUN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Specialty / Effect Filaments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Amolen (wood, silk, color effects)</w:t>
      </w:r>
    </w:p>
    <w:p>
      <w:pPr>
        <w:pStyle w:val="Compact"/>
        <w:numPr>
          <w:ilvl w:val="1"/>
          <w:numId w:val="1020"/>
        </w:numPr>
      </w:pPr>
      <w:r>
        <w:t xml:space="preserve">Gizmo Dorks (novelty &amp; specialty)</w:t>
      </w:r>
    </w:p>
    <w:bookmarkEnd w:id="33"/>
    <w:bookmarkStart w:id="34" w:name="consistency-vs-color-count-overlay"/>
    <w:p>
      <w:pPr>
        <w:pStyle w:val="Heading3"/>
      </w:pPr>
      <w:r>
        <w:t xml:space="preserve">Consistency vs Color Count Overlay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High Consistency, Smaller Color Range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Prusament</w:t>
      </w:r>
    </w:p>
    <w:p>
      <w:pPr>
        <w:pStyle w:val="Compact"/>
        <w:numPr>
          <w:ilvl w:val="1"/>
          <w:numId w:val="1022"/>
        </w:numPr>
      </w:pPr>
      <w:r>
        <w:t xml:space="preserve">Bambu Lab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Wider Color Range, Slightly More Variance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eSUN</w:t>
      </w:r>
    </w:p>
    <w:p>
      <w:pPr>
        <w:pStyle w:val="Compact"/>
        <w:numPr>
          <w:ilvl w:val="1"/>
          <w:numId w:val="1023"/>
        </w:numPr>
      </w:pPr>
      <w:r>
        <w:t xml:space="preserve">SUNLU</w:t>
      </w:r>
    </w:p>
    <w:p>
      <w:pPr>
        <w:pStyle w:val="Compact"/>
        <w:numPr>
          <w:ilvl w:val="1"/>
          <w:numId w:val="1023"/>
        </w:numPr>
      </w:pPr>
      <w:r>
        <w:t xml:space="preserve">Anycubic</w:t>
      </w:r>
    </w:p>
    <w:bookmarkEnd w:id="34"/>
    <w:bookmarkStart w:id="35" w:name="common-buying-pitfalls"/>
    <w:p>
      <w:pPr>
        <w:pStyle w:val="Heading3"/>
      </w:pPr>
      <w:r>
        <w:t xml:space="preserve">Common Buying Pitfalls</w:t>
      </w:r>
    </w:p>
    <w:p>
      <w:pPr>
        <w:pStyle w:val="Compact"/>
        <w:numPr>
          <w:ilvl w:val="0"/>
          <w:numId w:val="1024"/>
        </w:numPr>
      </w:pPr>
      <w:r>
        <w:t xml:space="preserve">Deeplee is best treated as bulk / utility PLA rather than precision filament</w:t>
      </w:r>
    </w:p>
    <w:p>
      <w:pPr>
        <w:pStyle w:val="Compact"/>
        <w:numPr>
          <w:ilvl w:val="0"/>
          <w:numId w:val="1024"/>
        </w:numPr>
      </w:pPr>
      <w:r>
        <w:t xml:space="preserve">“Same brand”</w:t>
      </w:r>
      <w:r>
        <w:t xml:space="preserve"> </w:t>
      </w:r>
      <w:r>
        <w:t xml:space="preserve">≠ same quality across materials</w:t>
      </w:r>
    </w:p>
    <w:p>
      <w:pPr>
        <w:pStyle w:val="Compact"/>
        <w:numPr>
          <w:ilvl w:val="0"/>
          <w:numId w:val="1024"/>
        </w:numPr>
      </w:pPr>
      <w:r>
        <w:t xml:space="preserve">Budget brands benefit most from pre-drying</w:t>
      </w:r>
    </w:p>
    <w:p>
      <w:pPr>
        <w:pStyle w:val="Compact"/>
        <w:numPr>
          <w:ilvl w:val="0"/>
          <w:numId w:val="1024"/>
        </w:numPr>
      </w:pPr>
      <w:r>
        <w:t xml:space="preserve">Specialty filaments amplify brand weaknesses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opics-to-expand-later"/>
    <w:p>
      <w:pPr>
        <w:pStyle w:val="Heading2"/>
      </w:pPr>
      <w:r>
        <w:t xml:space="preserve">Topics to Expand Later</w:t>
      </w:r>
    </w:p>
    <w:p>
      <w:pPr>
        <w:numPr>
          <w:ilvl w:val="0"/>
          <w:numId w:val="1025"/>
        </w:numPr>
      </w:pPr>
      <w:r>
        <w:t xml:space="preserve">Brand-by-material deep dive</w:t>
      </w:r>
    </w:p>
    <w:p>
      <w:pPr>
        <w:numPr>
          <w:ilvl w:val="0"/>
          <w:numId w:val="1025"/>
        </w:numPr>
      </w:pPr>
      <w:r>
        <w:t xml:space="preserve">Long-term spool consistency tracking</w:t>
      </w:r>
    </w:p>
    <w:p>
      <w:pPr>
        <w:numPr>
          <w:ilvl w:val="0"/>
          <w:numId w:val="1025"/>
        </w:numPr>
      </w:pPr>
      <w:r>
        <w:t xml:space="preserve">Packaging and moisture control comparison</w:t>
      </w:r>
    </w:p>
    <w:p>
      <w:pPr>
        <w:numPr>
          <w:ilvl w:val="0"/>
          <w:numId w:val="1025"/>
        </w:numPr>
      </w:pPr>
      <w:r>
        <w:t xml:space="preserve">PETG vs PLA color behavior</w:t>
      </w:r>
    </w:p>
    <w:p>
      <w:pPr>
        <w:numPr>
          <w:ilvl w:val="0"/>
          <w:numId w:val="1025"/>
        </w:numPr>
      </w:pPr>
      <w:r>
        <w:t xml:space="preserve">Silk-specific color popularity</w:t>
      </w:r>
    </w:p>
    <w:p>
      <w:pPr>
        <w:numPr>
          <w:ilvl w:val="0"/>
          <w:numId w:val="1025"/>
        </w:numPr>
      </w:pPr>
      <w:r>
        <w:t xml:space="preserve">Color temperature and LED interaction</w:t>
      </w:r>
    </w:p>
    <w:p>
      <w:pPr>
        <w:numPr>
          <w:ilvl w:val="0"/>
          <w:numId w:val="1025"/>
        </w:numPr>
      </w:pPr>
      <w:r>
        <w:t xml:space="preserve">Style-by-material matrix (PLA vs PETG vs TPU)</w:t>
      </w:r>
    </w:p>
    <w:p>
      <w:pPr>
        <w:numPr>
          <w:ilvl w:val="0"/>
          <w:numId w:val="1025"/>
        </w:numPr>
      </w:pPr>
      <w:r>
        <w:t xml:space="preserve">Best use cases per style</w:t>
      </w:r>
    </w:p>
    <w:p>
      <w:pPr>
        <w:numPr>
          <w:ilvl w:val="0"/>
          <w:numId w:val="1025"/>
        </w:numPr>
      </w:pPr>
      <w:r>
        <w:t xml:space="preserve">Brand performance by style</w:t>
      </w:r>
    </w:p>
    <w:p>
      <w:pPr>
        <w:numPr>
          <w:ilvl w:val="0"/>
          <w:numId w:val="1025"/>
        </w:numPr>
      </w:pPr>
      <w:r>
        <w:t xml:space="preserve">Color vs layer-line visibility</w:t>
      </w:r>
    </w:p>
    <w:p>
      <w:pPr>
        <w:numPr>
          <w:ilvl w:val="0"/>
          <w:numId w:val="1025"/>
        </w:numPr>
      </w:pPr>
      <w:r>
        <w:t xml:space="preserve">Best colors for translucent lighting</w:t>
      </w:r>
    </w:p>
    <w:p>
      <w:pPr>
        <w:numPr>
          <w:ilvl w:val="0"/>
          <w:numId w:val="1025"/>
        </w:numPr>
      </w:pPr>
      <w:r>
        <w:t xml:space="preserve">PETG vs PLA color behavior</w:t>
      </w:r>
    </w:p>
    <w:p>
      <w:pPr>
        <w:numPr>
          <w:ilvl w:val="0"/>
          <w:numId w:val="1025"/>
        </w:numPr>
      </w:pPr>
      <w:r>
        <w:t xml:space="preserve">Silk color popularity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2026-03-26T22:58:08Z</dcterms:created>
  <dcterms:modified xsi:type="dcterms:W3CDTF">2026-03-26T22:58:08Z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