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lament-finishes-styles"/>
    <w:p>
      <w:pPr>
        <w:pStyle w:val="Heading1"/>
      </w:pPr>
      <w:r>
        <w:t xml:space="preserve">Filament Finishes &amp; Styles</w:t>
      </w:r>
    </w:p>
    <w:p>
      <w:pPr>
        <w:pStyle w:val="BlockText"/>
      </w:pPr>
      <w:r>
        <w:t xml:space="preserve">Purpose: Define filament visual and functional styles (often called effects or finishes).</w:t>
      </w:r>
      <w:r>
        <w:t xml:space="preserve"> </w:t>
      </w:r>
      <w:r>
        <w:t xml:space="preserve">Scope: Independent of base material (PLA, PETG, etc.).</w:t>
      </w:r>
    </w:p>
    <w:bookmarkStart w:id="20" w:name="standard-finishes"/>
    <w:p>
      <w:pPr>
        <w:pStyle w:val="Heading2"/>
      </w:pPr>
      <w:r>
        <w:t xml:space="preserve">Standard Finishes</w:t>
      </w:r>
    </w:p>
    <w:p>
      <w:pPr>
        <w:pStyle w:val="Compact"/>
        <w:numPr>
          <w:ilvl w:val="0"/>
          <w:numId w:val="1001"/>
        </w:numPr>
      </w:pPr>
      <w:r>
        <w:t xml:space="preserve">Matte</w:t>
      </w:r>
    </w:p>
    <w:p>
      <w:pPr>
        <w:pStyle w:val="Compact"/>
        <w:numPr>
          <w:ilvl w:val="0"/>
          <w:numId w:val="1001"/>
        </w:numPr>
      </w:pPr>
      <w:r>
        <w:t xml:space="preserve">Gloss</w:t>
      </w:r>
    </w:p>
    <w:bookmarkEnd w:id="20"/>
    <w:bookmarkStart w:id="21" w:name="silk-reflective"/>
    <w:p>
      <w:pPr>
        <w:pStyle w:val="Heading2"/>
      </w:pPr>
      <w:r>
        <w:t xml:space="preserve">Silk &amp; Reflective</w:t>
      </w:r>
    </w:p>
    <w:p>
      <w:pPr>
        <w:pStyle w:val="Compact"/>
        <w:numPr>
          <w:ilvl w:val="0"/>
          <w:numId w:val="1002"/>
        </w:numPr>
      </w:pPr>
      <w:r>
        <w:t xml:space="preserve">Silk</w:t>
      </w:r>
    </w:p>
    <w:p>
      <w:pPr>
        <w:pStyle w:val="Compact"/>
        <w:numPr>
          <w:ilvl w:val="0"/>
          <w:numId w:val="1002"/>
        </w:numPr>
      </w:pPr>
      <w:r>
        <w:t xml:space="preserve">Dual-Color (Two-Tone)</w:t>
      </w:r>
    </w:p>
    <w:p>
      <w:pPr>
        <w:pStyle w:val="Compact"/>
        <w:numPr>
          <w:ilvl w:val="0"/>
          <w:numId w:val="1002"/>
        </w:numPr>
      </w:pPr>
      <w:r>
        <w:t xml:space="preserve">Tri-Color / Multi-Color</w:t>
      </w:r>
    </w:p>
    <w:bookmarkEnd w:id="21"/>
    <w:bookmarkStart w:id="22" w:name="gradient-color-shift"/>
    <w:p>
      <w:pPr>
        <w:pStyle w:val="Heading2"/>
      </w:pPr>
      <w:r>
        <w:t xml:space="preserve">Gradient &amp; Color-Shift</w:t>
      </w:r>
    </w:p>
    <w:p>
      <w:pPr>
        <w:pStyle w:val="Compact"/>
        <w:numPr>
          <w:ilvl w:val="0"/>
          <w:numId w:val="1003"/>
        </w:numPr>
      </w:pPr>
      <w:r>
        <w:t xml:space="preserve">Rainbow / Gradient (lengthwise)</w:t>
      </w:r>
    </w:p>
    <w:p>
      <w:pPr>
        <w:pStyle w:val="Compact"/>
        <w:numPr>
          <w:ilvl w:val="0"/>
          <w:numId w:val="1003"/>
        </w:numPr>
      </w:pPr>
      <w:r>
        <w:t xml:space="preserve">UV Color-Change</w:t>
      </w:r>
    </w:p>
    <w:p>
      <w:pPr>
        <w:pStyle w:val="Compact"/>
        <w:numPr>
          <w:ilvl w:val="0"/>
          <w:numId w:val="1003"/>
        </w:numPr>
      </w:pPr>
      <w:r>
        <w:t xml:space="preserve">Temperature Color-Change</w:t>
      </w:r>
    </w:p>
    <w:bookmarkEnd w:id="22"/>
    <w:bookmarkStart w:id="23" w:name="filled-composite-styles"/>
    <w:p>
      <w:pPr>
        <w:pStyle w:val="Heading2"/>
      </w:pPr>
      <w:r>
        <w:t xml:space="preserve">Filled / Composite Styles</w:t>
      </w:r>
    </w:p>
    <w:p>
      <w:pPr>
        <w:pStyle w:val="Compact"/>
        <w:numPr>
          <w:ilvl w:val="0"/>
          <w:numId w:val="1004"/>
        </w:numPr>
      </w:pPr>
      <w:r>
        <w:t xml:space="preserve">Carbon Fiber (CF)</w:t>
      </w:r>
    </w:p>
    <w:p>
      <w:pPr>
        <w:pStyle w:val="Compact"/>
        <w:numPr>
          <w:ilvl w:val="0"/>
          <w:numId w:val="1004"/>
        </w:numPr>
      </w:pPr>
      <w:r>
        <w:t xml:space="preserve">Glass Fiber (GF)</w:t>
      </w:r>
    </w:p>
    <w:p>
      <w:pPr>
        <w:pStyle w:val="Compact"/>
        <w:numPr>
          <w:ilvl w:val="0"/>
          <w:numId w:val="1004"/>
        </w:numPr>
      </w:pPr>
      <w:r>
        <w:t xml:space="preserve">Wood Fill</w:t>
      </w:r>
    </w:p>
    <w:p>
      <w:pPr>
        <w:pStyle w:val="Compact"/>
        <w:numPr>
          <w:ilvl w:val="0"/>
          <w:numId w:val="1004"/>
        </w:numPr>
      </w:pPr>
      <w:r>
        <w:t xml:space="preserve">Metal Fill (Bronze, Copper, Steel)</w:t>
      </w:r>
    </w:p>
    <w:p>
      <w:pPr>
        <w:pStyle w:val="Compact"/>
        <w:numPr>
          <w:ilvl w:val="0"/>
          <w:numId w:val="1004"/>
        </w:numPr>
      </w:pPr>
      <w:r>
        <w:t xml:space="preserve">Marble / Stone</w:t>
      </w:r>
    </w:p>
    <w:bookmarkEnd w:id="23"/>
    <w:bookmarkStart w:id="24" w:name="special-effect-styles"/>
    <w:p>
      <w:pPr>
        <w:pStyle w:val="Heading2"/>
      </w:pPr>
      <w:r>
        <w:t xml:space="preserve">Special Effect Styles</w:t>
      </w:r>
    </w:p>
    <w:p>
      <w:pPr>
        <w:pStyle w:val="Compact"/>
        <w:numPr>
          <w:ilvl w:val="0"/>
          <w:numId w:val="1005"/>
        </w:numPr>
      </w:pPr>
      <w:r>
        <w:t xml:space="preserve">Glitter / Sparkle</w:t>
      </w:r>
    </w:p>
    <w:p>
      <w:pPr>
        <w:pStyle w:val="Compact"/>
        <w:numPr>
          <w:ilvl w:val="0"/>
          <w:numId w:val="1005"/>
        </w:numPr>
      </w:pPr>
      <w:r>
        <w:t xml:space="preserve">Metallic (Non-Filled Pigment)</w:t>
      </w:r>
    </w:p>
    <w:p>
      <w:pPr>
        <w:pStyle w:val="Compact"/>
        <w:numPr>
          <w:ilvl w:val="0"/>
          <w:numId w:val="1005"/>
        </w:numPr>
      </w:pPr>
      <w:r>
        <w:t xml:space="preserve">Glow-in-the-Dark</w:t>
      </w:r>
    </w:p>
    <w:bookmarkEnd w:id="24"/>
    <w:bookmarkStart w:id="25" w:name="transparency"/>
    <w:p>
      <w:pPr>
        <w:pStyle w:val="Heading2"/>
      </w:pPr>
      <w:r>
        <w:t xml:space="preserve">Transparency</w:t>
      </w:r>
    </w:p>
    <w:p>
      <w:pPr>
        <w:pStyle w:val="Compact"/>
        <w:numPr>
          <w:ilvl w:val="0"/>
          <w:numId w:val="1006"/>
        </w:numPr>
      </w:pPr>
      <w:r>
        <w:t xml:space="preserve">Transparent / Clear</w:t>
      </w:r>
    </w:p>
    <w:p>
      <w:pPr>
        <w:pStyle w:val="Compact"/>
        <w:numPr>
          <w:ilvl w:val="0"/>
          <w:numId w:val="1006"/>
        </w:numPr>
      </w:pPr>
      <w:r>
        <w:t xml:space="preserve">Translucent / Frosted</w:t>
      </w:r>
    </w:p>
    <w:bookmarkEnd w:id="25"/>
    <w:bookmarkStart w:id="26" w:name="flexible-styles"/>
    <w:p>
      <w:pPr>
        <w:pStyle w:val="Heading2"/>
      </w:pPr>
      <w:r>
        <w:t xml:space="preserve">Flexible Styles</w:t>
      </w:r>
    </w:p>
    <w:p>
      <w:pPr>
        <w:pStyle w:val="Compact"/>
        <w:numPr>
          <w:ilvl w:val="0"/>
          <w:numId w:val="1007"/>
        </w:numPr>
      </w:pPr>
      <w:r>
        <w:t xml:space="preserve">TPU (Standard)</w:t>
      </w:r>
    </w:p>
    <w:p>
      <w:pPr>
        <w:pStyle w:val="Compact"/>
        <w:numPr>
          <w:ilvl w:val="0"/>
          <w:numId w:val="1007"/>
        </w:numPr>
      </w:pPr>
      <w:r>
        <w:t xml:space="preserve">TPU Soft / High-Flow Variants</w:t>
      </w:r>
    </w:p>
    <w:bookmarkEnd w:id="26"/>
    <w:bookmarkStart w:id="27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Styles affect strength, layer adhesion, abrasion, and nozzle choice.</w:t>
      </w:r>
    </w:p>
    <w:p>
      <w:pPr>
        <w:pStyle w:val="Compact"/>
        <w:numPr>
          <w:ilvl w:val="0"/>
          <w:numId w:val="1008"/>
        </w:numPr>
      </w:pPr>
      <w:r>
        <w:t xml:space="preserve">Many specialty styles are aesthetic-first.</w:t>
      </w:r>
    </w:p>
    <w:bookmarkEnd w:id="27"/>
    <w:bookmarkStart w:id="28" w:name="topics-to-expand-later"/>
    <w:p>
      <w:pPr>
        <w:pStyle w:val="Heading2"/>
      </w:pPr>
      <w:r>
        <w:t xml:space="preserve">Topics to Expand Later</w:t>
      </w:r>
    </w:p>
    <w:p>
      <w:pPr>
        <w:pStyle w:val="Compact"/>
        <w:numPr>
          <w:ilvl w:val="0"/>
          <w:numId w:val="1009"/>
        </w:numPr>
      </w:pPr>
      <w:r>
        <w:t xml:space="preserve">Style vs strength tradeoffs</w:t>
      </w:r>
    </w:p>
    <w:p>
      <w:pPr>
        <w:pStyle w:val="Compact"/>
        <w:numPr>
          <w:ilvl w:val="0"/>
          <w:numId w:val="1009"/>
        </w:numPr>
      </w:pPr>
      <w:r>
        <w:t xml:space="preserve">Nozzle requirements (abrasive vs non-abrasive)</w:t>
      </w:r>
    </w:p>
    <w:p>
      <w:pPr>
        <w:pStyle w:val="Compact"/>
        <w:numPr>
          <w:ilvl w:val="0"/>
          <w:numId w:val="1009"/>
        </w:numPr>
      </w:pPr>
      <w:r>
        <w:t xml:space="preserve">Best use cases per style</w:t>
      </w:r>
    </w:p>
    <w:p>
      <w:pPr>
        <w:pStyle w:val="Compact"/>
        <w:numPr>
          <w:ilvl w:val="0"/>
          <w:numId w:val="1009"/>
        </w:numPr>
      </w:pPr>
      <w:r>
        <w:t xml:space="preserve">Brand quality by style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2026-03-26T22:58:29Z</dcterms:created>
  <dcterms:modified xsi:type="dcterms:W3CDTF">2026-03-26T22:58:29Z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