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ce90868e12f30f8db42d03e943a44e5b16672a"/>
    <w:p>
      <w:pPr>
        <w:pStyle w:val="Heading1"/>
      </w:pPr>
      <w:r>
        <w:t xml:space="preserve">Material Marketing Terms vs Real Polymer Differences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Separate</w:t>
      </w:r>
      <w:r>
        <w:t xml:space="preserve"> </w:t>
      </w:r>
      <w:r>
        <w:rPr>
          <w:i/>
          <w:iCs/>
        </w:rPr>
        <w:t xml:space="preserve">branding language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actual material behavior</w:t>
      </w:r>
      <w:r>
        <w:t xml:space="preserve"> </w:t>
      </w:r>
      <w:r>
        <w:t xml:space="preserve">so design decisions are based on chemistry, not hype.</w:t>
      </w:r>
    </w:p>
    <w:p>
      <w:pPr>
        <w:pStyle w:val="BlockText"/>
      </w:pPr>
      <w:r>
        <w:rPr>
          <w:b/>
          <w:bCs/>
        </w:rPr>
        <w:t xml:space="preserve">Scope</w:t>
      </w:r>
      <w:r>
        <w:t xml:space="preserve">: Applies across PLA, PET-based materials, Nylon, and flexible filaments.</w:t>
      </w:r>
      <w:r>
        <w:br/>
      </w:r>
      <w:r>
        <w:rPr>
          <w:b/>
          <w:bCs/>
        </w:rPr>
        <w:t xml:space="preserve">Not included</w:t>
      </w:r>
      <w:r>
        <w:t xml:space="preserve">: Scenario decisions, structural design, or feasibility conclusions.</w:t>
      </w:r>
    </w:p>
    <w:p>
      <w:r>
        <w:pict>
          <v:rect style="width:0;height:1.5pt" o:hralign="center" o:hrstd="t" o:hr="t"/>
        </w:pict>
      </w:r>
    </w:p>
    <w:bookmarkStart w:id="20" w:name="why-this-canvas-exists"/>
    <w:p>
      <w:pPr>
        <w:pStyle w:val="Heading2"/>
      </w:pPr>
      <w:r>
        <w:t xml:space="preserve">Why This Canvas Exists</w:t>
      </w:r>
    </w:p>
    <w:p>
      <w:pPr>
        <w:pStyle w:val="FirstParagraph"/>
      </w:pPr>
      <w:r>
        <w:t xml:space="preserve">Filament marketing frequently uses</w:t>
      </w:r>
      <w:r>
        <w:t xml:space="preserve"> </w:t>
      </w:r>
      <w:r>
        <w:rPr>
          <w:b/>
          <w:bCs/>
        </w:rPr>
        <w:t xml:space="preserve">non-standardized terms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sound</w:t>
      </w:r>
      <w:r>
        <w:t xml:space="preserve"> </w:t>
      </w:r>
      <w:r>
        <w:t xml:space="preserve">technical but do not correspond to regulated or industry-defined material classes. This canvas exists to:</w:t>
      </w:r>
      <w:r>
        <w:t xml:space="preserve"> </w:t>
      </w:r>
      <w:r>
        <w:t xml:space="preserve">- Prevent false assumptions (</w:t>
      </w:r>
      <w:r>
        <w:t xml:space="preserve">“HT-PLA = high-temp plastic”</w:t>
      </w:r>
      <w:r>
        <w:t xml:space="preserve">)</w:t>
      </w:r>
      <w:r>
        <w:t xml:space="preserve"> </w:t>
      </w:r>
      <w:r>
        <w:t xml:space="preserve">- Identify what claims are</w:t>
      </w:r>
      <w:r>
        <w:t xml:space="preserve"> </w:t>
      </w:r>
      <w:r>
        <w:rPr>
          <w:b/>
          <w:bCs/>
        </w:rPr>
        <w:t xml:space="preserve">chemistry-backed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branding-only</w:t>
      </w:r>
      <w:r>
        <w:t xml:space="preserve"> </w:t>
      </w:r>
      <w:r>
        <w:t xml:space="preserve">- Reduce wasted prints and redesign cycles</w:t>
      </w:r>
    </w:p>
    <w:p>
      <w:r>
        <w:pict>
          <v:rect style="width:0;height:1.5pt" o:hralign="center" o:hrstd="t" o:hr="t"/>
        </w:pict>
      </w:r>
    </w:p>
    <w:bookmarkEnd w:id="20"/>
    <w:bookmarkStart w:id="24" w:name="pla-family-what-the-names-really-mean"/>
    <w:p>
      <w:pPr>
        <w:pStyle w:val="Heading2"/>
      </w:pPr>
      <w:r>
        <w:t xml:space="preserve">PLA Family – What the Names Really Mean</w:t>
      </w:r>
    </w:p>
    <w:bookmarkStart w:id="21" w:name="pla"/>
    <w:p>
      <w:pPr>
        <w:pStyle w:val="Heading3"/>
      </w:pPr>
      <w:r>
        <w:rPr>
          <w:b/>
          <w:bCs/>
        </w:rPr>
        <w:t xml:space="preserve">PLA</w:t>
      </w:r>
    </w:p>
    <w:p>
      <w:pPr>
        <w:pStyle w:val="Compact"/>
        <w:numPr>
          <w:ilvl w:val="0"/>
          <w:numId w:val="1001"/>
        </w:numPr>
      </w:pPr>
      <w:r>
        <w:t xml:space="preserve">Base polylactic acid</w:t>
      </w:r>
    </w:p>
    <w:p>
      <w:pPr>
        <w:pStyle w:val="Compact"/>
        <w:numPr>
          <w:ilvl w:val="0"/>
          <w:numId w:val="1001"/>
        </w:numPr>
      </w:pPr>
      <w:r>
        <w:t xml:space="preserve">Low heat resistance</w:t>
      </w:r>
    </w:p>
    <w:p>
      <w:pPr>
        <w:pStyle w:val="Compact"/>
        <w:numPr>
          <w:ilvl w:val="0"/>
          <w:numId w:val="1001"/>
        </w:numPr>
      </w:pPr>
      <w:r>
        <w:t xml:space="preserve">Brittle compared to engineering plastics</w:t>
      </w:r>
    </w:p>
    <w:p>
      <w:pPr>
        <w:pStyle w:val="FirstParagraph"/>
      </w:pP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 real polymer class.</w:t>
      </w:r>
    </w:p>
    <w:p>
      <w:r>
        <w:pict>
          <v:rect style="width:0;height:1.5pt" o:hralign="center" o:hrstd="t" o:hr="t"/>
        </w:pict>
      </w:r>
    </w:p>
    <w:bookmarkEnd w:id="21"/>
    <w:bookmarkStart w:id="22" w:name="pla-tough-pla-pro-pla-pla-max"/>
    <w:p>
      <w:pPr>
        <w:pStyle w:val="Heading3"/>
      </w:pPr>
      <w:r>
        <w:rPr>
          <w:b/>
          <w:bCs/>
        </w:rPr>
        <w:t xml:space="preserve">PLA+ / Tough PLA / Pro PLA / PLA Max</w:t>
      </w:r>
    </w:p>
    <w:p>
      <w:pPr>
        <w:pStyle w:val="FirstParagraph"/>
      </w:pPr>
      <w:r>
        <w:rPr>
          <w:b/>
          <w:bCs/>
        </w:rPr>
        <w:t xml:space="preserve">Marketing status:</w:t>
      </w:r>
      <w:r>
        <w:t xml:space="preserve"> </w:t>
      </w:r>
      <w:r>
        <w:t xml:space="preserve">❌ Not standardized</w:t>
      </w:r>
    </w:p>
    <w:p>
      <w:pPr>
        <w:pStyle w:val="BodyText"/>
      </w:pPr>
      <w:r>
        <w:t xml:space="preserve">Typically indicates:</w:t>
      </w:r>
      <w:r>
        <w:t xml:space="preserve"> </w:t>
      </w:r>
      <w:r>
        <w:t xml:space="preserve">- Impact modifiers</w:t>
      </w:r>
      <w:r>
        <w:t xml:space="preserve"> </w:t>
      </w:r>
      <w:r>
        <w:t xml:space="preserve">- Plasticizers</w:t>
      </w:r>
      <w:r>
        <w:t xml:space="preserve"> </w:t>
      </w:r>
      <w:r>
        <w:t xml:space="preserve">- Blend tweaks for printability</w:t>
      </w:r>
    </w:p>
    <w:p>
      <w:pPr>
        <w:pStyle w:val="BodyText"/>
      </w:pPr>
      <w:r>
        <w:t xml:space="preserve">What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guarantee:</w:t>
      </w:r>
      <w:r>
        <w:t xml:space="preserve"> </w:t>
      </w:r>
      <w:r>
        <w:t xml:space="preserve">- Higher heat resistance</w:t>
      </w:r>
      <w:r>
        <w:t xml:space="preserve"> </w:t>
      </w:r>
      <w:r>
        <w:t xml:space="preserve">- Chemical resistance</w:t>
      </w:r>
      <w:r>
        <w:t xml:space="preserve"> </w:t>
      </w:r>
      <w:r>
        <w:t xml:space="preserve">- Consistent mechanical improvement across brands</w:t>
      </w:r>
    </w:p>
    <w:p>
      <w:pPr>
        <w:pStyle w:val="BlockText"/>
      </w:pPr>
      <w:r>
        <w:t xml:space="preserve">Two PLA+ filaments from different brands can behave very differently.</w:t>
      </w:r>
    </w:p>
    <w:p>
      <w:r>
        <w:pict>
          <v:rect style="width:0;height:1.5pt" o:hralign="center" o:hrstd="t" o:hr="t"/>
        </w:pict>
      </w:r>
    </w:p>
    <w:bookmarkEnd w:id="22"/>
    <w:bookmarkStart w:id="23" w:name="ht-pla-high-temp-pla"/>
    <w:p>
      <w:pPr>
        <w:pStyle w:val="Heading3"/>
      </w:pPr>
      <w:r>
        <w:rPr>
          <w:b/>
          <w:bCs/>
        </w:rPr>
        <w:t xml:space="preserve">HT-PLA (High-Temp PLA)</w:t>
      </w:r>
    </w:p>
    <w:p>
      <w:pPr>
        <w:pStyle w:val="FirstParagraph"/>
      </w:pPr>
      <w:r>
        <w:rPr>
          <w:b/>
          <w:bCs/>
        </w:rPr>
        <w:t xml:space="preserve">Marketing status:</w:t>
      </w:r>
      <w:r>
        <w:t xml:space="preserve"> </w:t>
      </w:r>
      <w:r>
        <w:t xml:space="preserve">⚠️ Conditionally meaningful</w:t>
      </w:r>
    </w:p>
    <w:p>
      <w:pPr>
        <w:pStyle w:val="BodyText"/>
      </w:pPr>
      <w:r>
        <w:t xml:space="preserve">What it usually means:</w:t>
      </w:r>
      <w:r>
        <w:t xml:space="preserve"> </w:t>
      </w:r>
      <w:r>
        <w:t xml:space="preserve">- PLA formulated for</w:t>
      </w:r>
      <w:r>
        <w:t xml:space="preserve"> </w:t>
      </w:r>
      <w:r>
        <w:rPr>
          <w:b/>
          <w:bCs/>
        </w:rPr>
        <w:t xml:space="preserve">post-print annealing</w:t>
      </w:r>
      <w:r>
        <w:t xml:space="preserve"> </w:t>
      </w:r>
      <w:r>
        <w:t xml:space="preserve">- Heat resistance improves</w:t>
      </w:r>
      <w:r>
        <w:t xml:space="preserve"> </w:t>
      </w:r>
      <w:r>
        <w:rPr>
          <w:i/>
          <w:iCs/>
        </w:rPr>
        <w:t xml:space="preserve">only after controlled anneal</w:t>
      </w:r>
    </w:p>
    <w:p>
      <w:pPr>
        <w:pStyle w:val="BodyText"/>
      </w:pPr>
      <w:r>
        <w:t xml:space="preserve">What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mean:</w:t>
      </w:r>
      <w:r>
        <w:t xml:space="preserve"> </w:t>
      </w:r>
      <w:r>
        <w:t xml:space="preserve">- High-temperature performance as-printed</w:t>
      </w:r>
      <w:r>
        <w:t xml:space="preserve"> </w:t>
      </w:r>
      <w:r>
        <w:t xml:space="preserve">- Equivalent to ABS, ASA, or Nylon</w:t>
      </w:r>
    </w:p>
    <w:p>
      <w:pPr>
        <w:pStyle w:val="BodyText"/>
      </w:pPr>
      <w:r>
        <w:rPr>
          <w:b/>
          <w:bCs/>
        </w:rPr>
        <w:t xml:space="preserve">Design reality</w:t>
      </w:r>
      <w:r>
        <w:t xml:space="preserve">:</w:t>
      </w:r>
      <w:r>
        <w:t xml:space="preserve"> </w:t>
      </w:r>
      <w:r>
        <w:t xml:space="preserve">- Without annealing, HT-PLA behaves like normal PLA</w:t>
      </w:r>
      <w:r>
        <w:t xml:space="preserve"> </w:t>
      </w:r>
      <w:r>
        <w:t xml:space="preserve">- Annealing introduces</w:t>
      </w:r>
      <w:r>
        <w:t xml:space="preserve"> </w:t>
      </w:r>
      <w:r>
        <w:rPr>
          <w:b/>
          <w:bCs/>
        </w:rPr>
        <w:t xml:space="preserve">shrinkage and warping risks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ac5950160d7fce826f3085e501bff0c26ca4e44"/>
    <w:p>
      <w:pPr>
        <w:pStyle w:val="Heading2"/>
      </w:pPr>
      <w:r>
        <w:t xml:space="preserve">PET-Based Materials – Real Chemistry, Loose Naming</w:t>
      </w:r>
    </w:p>
    <w:bookmarkStart w:id="25" w:name="pet-polyethylene-terephthalate"/>
    <w:p>
      <w:pPr>
        <w:pStyle w:val="Heading3"/>
      </w:pPr>
      <w:r>
        <w:rPr>
          <w:b/>
          <w:bCs/>
        </w:rPr>
        <w:t xml:space="preserve">PET (Polyethylene Terephthalate)</w:t>
      </w:r>
    </w:p>
    <w:p>
      <w:pPr>
        <w:pStyle w:val="Compact"/>
        <w:numPr>
          <w:ilvl w:val="0"/>
          <w:numId w:val="1002"/>
        </w:numPr>
      </w:pPr>
      <w:r>
        <w:t xml:space="preserve">True base polymer (same family as soda bottles)</w:t>
      </w:r>
    </w:p>
    <w:p>
      <w:pPr>
        <w:pStyle w:val="Compact"/>
        <w:numPr>
          <w:ilvl w:val="0"/>
          <w:numId w:val="1002"/>
        </w:numPr>
      </w:pPr>
      <w:r>
        <w:t xml:space="preserve">Rare as pure consumer filament</w:t>
      </w:r>
    </w:p>
    <w:p>
      <w:r>
        <w:pict>
          <v:rect style="width:0;height:1.5pt" o:hralign="center" o:hrstd="t" o:hr="t"/>
        </w:pict>
      </w:r>
    </w:p>
    <w:bookmarkEnd w:id="25"/>
    <w:bookmarkStart w:id="26" w:name="petg"/>
    <w:p>
      <w:pPr>
        <w:pStyle w:val="Heading3"/>
      </w:pPr>
      <w:r>
        <w:rPr>
          <w:b/>
          <w:bCs/>
        </w:rPr>
        <w:t xml:space="preserve">PETG</w:t>
      </w:r>
    </w:p>
    <w:p>
      <w:pPr>
        <w:pStyle w:val="Compact"/>
        <w:numPr>
          <w:ilvl w:val="0"/>
          <w:numId w:val="1003"/>
        </w:numPr>
      </w:pPr>
      <w:r>
        <w:t xml:space="preserve">PET modified with glycol</w:t>
      </w:r>
    </w:p>
    <w:p>
      <w:pPr>
        <w:pStyle w:val="Compact"/>
        <w:numPr>
          <w:ilvl w:val="0"/>
          <w:numId w:val="1003"/>
        </w:numPr>
      </w:pPr>
      <w:r>
        <w:t xml:space="preserve">Reduced crystallization → easier printing</w:t>
      </w:r>
    </w:p>
    <w:p>
      <w:pPr>
        <w:pStyle w:val="FirstParagraph"/>
      </w:pP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 real polymer modification</w:t>
      </w:r>
      <w:r>
        <w:t xml:space="preserve">, but:</w:t>
      </w:r>
      <w:r>
        <w:t xml:space="preserve"> </w:t>
      </w:r>
      <w:r>
        <w:t xml:space="preserve">- Chemical resistance varies by formulation</w:t>
      </w:r>
      <w:r>
        <w:t xml:space="preserve"> </w:t>
      </w:r>
      <w:r>
        <w:t xml:space="preserve">- Heat resistance is still limited</w:t>
      </w:r>
    </w:p>
    <w:p>
      <w:r>
        <w:pict>
          <v:rect style="width:0;height:1.5pt" o:hralign="center" o:hrstd="t" o:hr="t"/>
        </w:pict>
      </w:r>
    </w:p>
    <w:bookmarkEnd w:id="26"/>
    <w:bookmarkStart w:id="27" w:name="petg-tough-petg"/>
    <w:p>
      <w:pPr>
        <w:pStyle w:val="Heading3"/>
      </w:pPr>
      <w:r>
        <w:rPr>
          <w:b/>
          <w:bCs/>
        </w:rPr>
        <w:t xml:space="preserve">PETG+ / Tough PETG</w:t>
      </w:r>
    </w:p>
    <w:p>
      <w:pPr>
        <w:pStyle w:val="FirstParagraph"/>
      </w:pPr>
      <w:r>
        <w:rPr>
          <w:b/>
          <w:bCs/>
        </w:rPr>
        <w:t xml:space="preserve">Marketing status:</w:t>
      </w:r>
      <w:r>
        <w:t xml:space="preserve"> </w:t>
      </w:r>
      <w:r>
        <w:t xml:space="preserve">❌ Not standardized</w:t>
      </w:r>
    </w:p>
    <w:p>
      <w:pPr>
        <w:pStyle w:val="BodyText"/>
      </w:pPr>
      <w:r>
        <w:t xml:space="preserve">Usually means:</w:t>
      </w:r>
      <w:r>
        <w:t xml:space="preserve"> </w:t>
      </w:r>
      <w:r>
        <w:t xml:space="preserve">- Added flexibilizers</w:t>
      </w:r>
      <w:r>
        <w:t xml:space="preserve"> </w:t>
      </w:r>
      <w:r>
        <w:t xml:space="preserve">- Printability tuning</w:t>
      </w:r>
    </w:p>
    <w:p>
      <w:pPr>
        <w:pStyle w:val="BodyText"/>
      </w:pP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imply:</w:t>
      </w:r>
      <w:r>
        <w:t xml:space="preserve"> </w:t>
      </w:r>
      <w:r>
        <w:t xml:space="preserve">- Oil or fuel resistance</w:t>
      </w:r>
      <w:r>
        <w:t xml:space="preserve"> </w:t>
      </w:r>
      <w:r>
        <w:t xml:space="preserve">- Structural performance increase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nylon-naming-mixed-reality"/>
    <w:p>
      <w:pPr>
        <w:pStyle w:val="Heading2"/>
      </w:pPr>
      <w:r>
        <w:t xml:space="preserve">Nylon Naming – Mixed Reality</w:t>
      </w:r>
    </w:p>
    <w:bookmarkStart w:id="29" w:name="true-nylon-designations-real"/>
    <w:p>
      <w:pPr>
        <w:pStyle w:val="Heading3"/>
      </w:pPr>
      <w:r>
        <w:rPr>
          <w:b/>
          <w:bCs/>
        </w:rPr>
        <w:t xml:space="preserve">True Nylon Designations (Real)</w:t>
      </w:r>
    </w:p>
    <w:p>
      <w:pPr>
        <w:pStyle w:val="Compact"/>
        <w:numPr>
          <w:ilvl w:val="0"/>
          <w:numId w:val="1004"/>
        </w:numPr>
      </w:pPr>
      <w:r>
        <w:t xml:space="preserve">PA6, PA66, PA12, PA610, PA612</w:t>
      </w:r>
    </w:p>
    <w:p>
      <w:pPr>
        <w:pStyle w:val="Compact"/>
        <w:numPr>
          <w:ilvl w:val="0"/>
          <w:numId w:val="1004"/>
        </w:numPr>
      </w:pPr>
      <w:r>
        <w:t xml:space="preserve">Governed by polymer chemistry</w:t>
      </w:r>
    </w:p>
    <w:p>
      <w:pPr>
        <w:pStyle w:val="FirstParagraph"/>
      </w:pPr>
      <w:r>
        <w:t xml:space="preserve">These have</w:t>
      </w:r>
      <w:r>
        <w:t xml:space="preserve"> </w:t>
      </w:r>
      <w:r>
        <w:rPr>
          <w:b/>
          <w:bCs/>
        </w:rPr>
        <w:t xml:space="preserve">predictable tradeoffs</w:t>
      </w:r>
      <w:r>
        <w:t xml:space="preserve"> </w:t>
      </w:r>
      <w:r>
        <w:t xml:space="preserve">(moisture, strength, stability).</w:t>
      </w:r>
    </w:p>
    <w:p>
      <w:r>
        <w:pict>
          <v:rect style="width:0;height:1.5pt" o:hralign="center" o:hrstd="t" o:hr="t"/>
        </w:pict>
      </w:r>
    </w:p>
    <w:bookmarkEnd w:id="29"/>
    <w:bookmarkStart w:id="30" w:name="nylon-pa-blend-filament"/>
    <w:p>
      <w:pPr>
        <w:pStyle w:val="Heading3"/>
      </w:pPr>
      <w:r>
        <w:rPr>
          <w:b/>
          <w:bCs/>
        </w:rPr>
        <w:t xml:space="preserve">“Nylon”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“PA Blend”</w:t>
      </w:r>
      <w:r>
        <w:rPr>
          <w:b/>
          <w:bCs/>
        </w:rPr>
        <w:t xml:space="preserve"> </w:t>
      </w:r>
      <w:r>
        <w:rPr>
          <w:b/>
          <w:bCs/>
        </w:rPr>
        <w:t xml:space="preserve">Filament</w:t>
      </w:r>
    </w:p>
    <w:p>
      <w:pPr>
        <w:pStyle w:val="FirstParagraph"/>
      </w:pPr>
      <w:r>
        <w:rPr>
          <w:b/>
          <w:bCs/>
        </w:rPr>
        <w:t xml:space="preserve">Marketing status:</w:t>
      </w:r>
      <w:r>
        <w:t xml:space="preserve"> </w:t>
      </w:r>
      <w:r>
        <w:t xml:space="preserve">⚠️ Vague</w:t>
      </w:r>
    </w:p>
    <w:p>
      <w:pPr>
        <w:pStyle w:val="BodyText"/>
      </w:pPr>
      <w:r>
        <w:t xml:space="preserve">Could be:</w:t>
      </w:r>
      <w:r>
        <w:t xml:space="preserve"> </w:t>
      </w:r>
      <w:r>
        <w:t xml:space="preserve">- PA6 + modifiers</w:t>
      </w:r>
      <w:r>
        <w:t xml:space="preserve"> </w:t>
      </w:r>
      <w:r>
        <w:t xml:space="preserve">- PA12 blend</w:t>
      </w:r>
      <w:r>
        <w:t xml:space="preserve"> </w:t>
      </w:r>
      <w:r>
        <w:t xml:space="preserve">- Copolymer nylon</w:t>
      </w:r>
    </w:p>
    <w:p>
      <w:pPr>
        <w:pStyle w:val="BodyText"/>
      </w:pPr>
      <w:r>
        <w:t xml:space="preserve">Always verify:</w:t>
      </w:r>
      <w:r>
        <w:t xml:space="preserve"> </w:t>
      </w:r>
      <w:r>
        <w:t xml:space="preserve">- Moisture sensitivity</w:t>
      </w:r>
      <w:r>
        <w:t xml:space="preserve"> </w:t>
      </w:r>
      <w:r>
        <w:t xml:space="preserve">- Print temperature</w:t>
      </w:r>
      <w:r>
        <w:t xml:space="preserve"> </w:t>
      </w:r>
      <w:r>
        <w:t xml:space="preserve">- Reinforcement (CF / GF)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lexible-filaments-tpu-vs-tpe"/>
    <w:p>
      <w:pPr>
        <w:pStyle w:val="Heading2"/>
      </w:pPr>
      <w:r>
        <w:t xml:space="preserve">Flexible Filaments – TPU vs TPE</w:t>
      </w:r>
    </w:p>
    <w:bookmarkStart w:id="32" w:name="tpu-thermoplastic-polyurethane"/>
    <w:p>
      <w:pPr>
        <w:pStyle w:val="Heading3"/>
      </w:pPr>
      <w:r>
        <w:rPr>
          <w:b/>
          <w:bCs/>
        </w:rPr>
        <w:t xml:space="preserve">TPU (Thermoplastic Polyurethane)</w:t>
      </w:r>
    </w:p>
    <w:p>
      <w:pPr>
        <w:pStyle w:val="Compact"/>
        <w:numPr>
          <w:ilvl w:val="0"/>
          <w:numId w:val="1005"/>
        </w:numPr>
      </w:pPr>
      <w:r>
        <w:t xml:space="preserve">Real polymer class</w:t>
      </w:r>
    </w:p>
    <w:p>
      <w:pPr>
        <w:pStyle w:val="Compact"/>
        <w:numPr>
          <w:ilvl w:val="0"/>
          <w:numId w:val="1005"/>
        </w:numPr>
      </w:pPr>
      <w:r>
        <w:t xml:space="preserve">Oil and grease resistant</w:t>
      </w:r>
    </w:p>
    <w:p>
      <w:pPr>
        <w:pStyle w:val="Compact"/>
        <w:numPr>
          <w:ilvl w:val="0"/>
          <w:numId w:val="1005"/>
        </w:numPr>
      </w:pPr>
      <w:r>
        <w:t xml:space="preserve">Defined by</w:t>
      </w:r>
      <w:r>
        <w:t xml:space="preserve"> </w:t>
      </w:r>
      <w:r>
        <w:rPr>
          <w:b/>
          <w:bCs/>
        </w:rPr>
        <w:t xml:space="preserve">Shore hardness</w:t>
      </w:r>
      <w:r>
        <w:t xml:space="preserve"> </w:t>
      </w:r>
      <w:r>
        <w:t xml:space="preserve">(e.g., 95A)</w:t>
      </w:r>
    </w:p>
    <w:p>
      <w:r>
        <w:pict>
          <v:rect style="width:0;height:1.5pt" o:hralign="center" o:hrstd="t" o:hr="t"/>
        </w:pict>
      </w:r>
    </w:p>
    <w:bookmarkEnd w:id="32"/>
    <w:bookmarkStart w:id="33" w:name="tpe"/>
    <w:p>
      <w:pPr>
        <w:pStyle w:val="Heading3"/>
      </w:pPr>
      <w:r>
        <w:rPr>
          <w:b/>
          <w:bCs/>
        </w:rPr>
        <w:t xml:space="preserve">TPE</w:t>
      </w:r>
    </w:p>
    <w:p>
      <w:pPr>
        <w:pStyle w:val="Compact"/>
        <w:numPr>
          <w:ilvl w:val="0"/>
          <w:numId w:val="1006"/>
        </w:numPr>
      </w:pPr>
      <w:r>
        <w:t xml:space="preserve">Broad category, not a single polymer</w:t>
      </w:r>
    </w:p>
    <w:p>
      <w:pPr>
        <w:pStyle w:val="Compact"/>
        <w:numPr>
          <w:ilvl w:val="0"/>
          <w:numId w:val="1006"/>
        </w:numPr>
      </w:pPr>
      <w:r>
        <w:t xml:space="preserve">Behavior varies widely</w:t>
      </w:r>
    </w:p>
    <w:p>
      <w:pPr>
        <w:pStyle w:val="BlockText"/>
      </w:pPr>
      <w:r>
        <w:t xml:space="preserve">Hardness rating matters more than the name.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heat-claims-common-misinterpretations"/>
    <w:p>
      <w:pPr>
        <w:pStyle w:val="Heading2"/>
      </w:pPr>
      <w:r>
        <w:t xml:space="preserve">Heat Claims – Common Misinterpretations</w:t>
      </w:r>
    </w:p>
    <w:bookmarkStart w:id="35" w:name="Xc689f33d6e787c0daadf713c4eb0fe325c89b43"/>
    <w:p>
      <w:pPr>
        <w:pStyle w:val="Heading3"/>
      </w:pPr>
      <w:r>
        <w:t xml:space="preserve">Glass Transition (Tg) vs Usable Temperature</w:t>
      </w:r>
    </w:p>
    <w:p>
      <w:pPr>
        <w:pStyle w:val="Compact"/>
        <w:numPr>
          <w:ilvl w:val="0"/>
          <w:numId w:val="1007"/>
        </w:numPr>
      </w:pPr>
      <w:r>
        <w:t xml:space="preserve">Tg ≠ safe working temperature</w:t>
      </w:r>
    </w:p>
    <w:p>
      <w:pPr>
        <w:pStyle w:val="Compact"/>
        <w:numPr>
          <w:ilvl w:val="0"/>
          <w:numId w:val="1007"/>
        </w:numPr>
      </w:pPr>
      <w:r>
        <w:t xml:space="preserve">Load + time cause creep well below Tg</w:t>
      </w:r>
    </w:p>
    <w:bookmarkEnd w:id="35"/>
    <w:bookmarkStart w:id="36" w:name="withstands-xc"/>
    <w:p>
      <w:pPr>
        <w:pStyle w:val="Heading3"/>
      </w:pPr>
      <w:r>
        <w:t xml:space="preserve">“Withstands X°C”</w:t>
      </w:r>
    </w:p>
    <w:p>
      <w:pPr>
        <w:pStyle w:val="FirstParagraph"/>
      </w:pPr>
      <w:r>
        <w:t xml:space="preserve">Often means:</w:t>
      </w:r>
      <w:r>
        <w:t xml:space="preserve"> </w:t>
      </w:r>
      <w:r>
        <w:t xml:space="preserve">- Short-term exposure</w:t>
      </w:r>
      <w:r>
        <w:t xml:space="preserve"> </w:t>
      </w:r>
      <w:r>
        <w:t xml:space="preserve">- No load</w:t>
      </w:r>
      <w:r>
        <w:t xml:space="preserve"> </w:t>
      </w:r>
      <w:r>
        <w:t xml:space="preserve">- Ideal lab conditions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food-safe-safety-claims-preview"/>
    <w:p>
      <w:pPr>
        <w:pStyle w:val="Heading2"/>
      </w:pPr>
      <w:r>
        <w:t xml:space="preserve">Food-Safe &amp; Safety Claims (Preview)</w:t>
      </w:r>
    </w:p>
    <w:bookmarkStart w:id="38" w:name="food-safe-filament"/>
    <w:p>
      <w:pPr>
        <w:pStyle w:val="Heading3"/>
      </w:pPr>
      <w:r>
        <w:t xml:space="preserve">“Food-Safe Filament”</w:t>
      </w:r>
    </w:p>
    <w:p>
      <w:pPr>
        <w:pStyle w:val="FirstParagraph"/>
      </w:pPr>
      <w:r>
        <w:rPr>
          <w:b/>
          <w:bCs/>
        </w:rPr>
        <w:t xml:space="preserve">Almost always refers to raw pellets</w:t>
      </w:r>
      <w:r>
        <w:t xml:space="preserve">, not printed parts.</w:t>
      </w:r>
    </w:p>
    <w:p>
      <w:pPr>
        <w:pStyle w:val="BodyText"/>
      </w:pPr>
      <w:r>
        <w:t xml:space="preserve">Printing realities:</w:t>
      </w:r>
      <w:r>
        <w:t xml:space="preserve"> </w:t>
      </w:r>
      <w:r>
        <w:t xml:space="preserve">- Layer lines trap contaminants</w:t>
      </w:r>
      <w:r>
        <w:t xml:space="preserve"> </w:t>
      </w:r>
      <w:r>
        <w:t xml:space="preserve">- No post-print certification</w:t>
      </w:r>
    </w:p>
    <w:p>
      <w:pPr>
        <w:pStyle w:val="BodyText"/>
      </w:pPr>
      <w:r>
        <w:t xml:space="preserve">Design implication:</w:t>
      </w:r>
      <w:r>
        <w:t xml:space="preserve"> </w:t>
      </w:r>
      <w:r>
        <w:t xml:space="preserve">- Use liners, inserts, or coatings</w:t>
      </w:r>
      <w:r>
        <w:t xml:space="preserve"> </w:t>
      </w:r>
      <w:r>
        <w:t xml:space="preserve">- Treat printed parts as</w:t>
      </w:r>
      <w:r>
        <w:t xml:space="preserve"> </w:t>
      </w:r>
      <w:r>
        <w:rPr>
          <w:b/>
          <w:bCs/>
        </w:rPr>
        <w:t xml:space="preserve">non-food-contact by default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8"/>
        </w:numPr>
      </w:pPr>
      <w:r>
        <w:t xml:space="preserve">Marketing terms are</w:t>
      </w:r>
      <w:r>
        <w:t xml:space="preserve"> </w:t>
      </w:r>
      <w:r>
        <w:rPr>
          <w:b/>
          <w:bCs/>
        </w:rPr>
        <w:t xml:space="preserve">not material standards</w:t>
      </w:r>
    </w:p>
    <w:p>
      <w:pPr>
        <w:pStyle w:val="Compact"/>
        <w:numPr>
          <w:ilvl w:val="0"/>
          <w:numId w:val="1008"/>
        </w:numPr>
      </w:pPr>
      <w:r>
        <w:t xml:space="preserve">Only polymer designations (PLA, PA12, PETG) have real meaning</w:t>
      </w:r>
    </w:p>
    <w:p>
      <w:pPr>
        <w:pStyle w:val="Compact"/>
        <w:numPr>
          <w:ilvl w:val="0"/>
          <w:numId w:val="1008"/>
        </w:numPr>
      </w:pPr>
      <w:r>
        <w:t xml:space="preserve">Heat, chemical, and safety claims require context</w:t>
      </w:r>
    </w:p>
    <w:p>
      <w:pPr>
        <w:pStyle w:val="Compact"/>
        <w:numPr>
          <w:ilvl w:val="0"/>
          <w:numId w:val="1008"/>
        </w:numPr>
      </w:pPr>
      <w:r>
        <w:t xml:space="preserve">Scenarios decide whether a claim actually matters</w:t>
      </w:r>
    </w:p>
    <w:p>
      <w:r>
        <w:pict>
          <v:rect style="width:0;height:1.5pt" o:hralign="center" o:hrstd="t" o:hr="t"/>
        </w:pict>
      </w:r>
    </w:p>
    <w:bookmarkEnd w:id="40"/>
    <w:bookmarkStart w:id="41" w:name="where-this-canvas-fits"/>
    <w:p>
      <w:pPr>
        <w:pStyle w:val="Heading2"/>
      </w:pPr>
      <w:r>
        <w:t xml:space="preserve">Where This Canvas Fits</w:t>
      </w:r>
    </w:p>
    <w:p>
      <w:pPr>
        <w:pStyle w:val="Compact"/>
        <w:numPr>
          <w:ilvl w:val="0"/>
          <w:numId w:val="1009"/>
        </w:numPr>
      </w:pPr>
      <w:r>
        <w:t xml:space="preserve">Supports</w:t>
      </w:r>
      <w:r>
        <w:t xml:space="preserve"> </w:t>
      </w:r>
      <w:r>
        <w:rPr>
          <w:b/>
          <w:bCs/>
        </w:rPr>
        <w:t xml:space="preserve">Material Resistance – Quick Reference</w:t>
      </w:r>
    </w:p>
    <w:p>
      <w:pPr>
        <w:pStyle w:val="Compact"/>
        <w:numPr>
          <w:ilvl w:val="0"/>
          <w:numId w:val="1009"/>
        </w:numPr>
      </w:pPr>
      <w:r>
        <w:t xml:space="preserve">Feeds</w:t>
      </w:r>
      <w:r>
        <w:t xml:space="preserve"> </w:t>
      </w:r>
      <w:r>
        <w:rPr>
          <w:b/>
          <w:bCs/>
        </w:rPr>
        <w:t xml:space="preserve">Scenario evaluations</w:t>
      </w:r>
      <w:r>
        <w:t xml:space="preserve"> </w:t>
      </w:r>
      <w:r>
        <w:t xml:space="preserve">when claims conflict</w:t>
      </w:r>
    </w:p>
    <w:p>
      <w:pPr>
        <w:pStyle w:val="Compact"/>
        <w:numPr>
          <w:ilvl w:val="0"/>
          <w:numId w:val="1009"/>
        </w:numPr>
      </w:pPr>
      <w:r>
        <w:t xml:space="preserve">Prevents premature material assumptions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2026-03-26T23:03:41Z</dcterms:created>
  <dcterms:modified xsi:type="dcterms:W3CDTF">2026-03-26T23:03:41Z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