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terial-resistance-quick-reference"/>
    <w:p>
      <w:pPr>
        <w:pStyle w:val="Heading1"/>
      </w:pPr>
      <w:r>
        <w:t xml:space="preserve">Material Resistance – Quick Reference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Fast, high‑level lookup while working scenarios.</w:t>
      </w:r>
      <w:r>
        <w:br/>
      </w:r>
      <w:r>
        <w:rPr>
          <w:b/>
          <w:bCs/>
        </w:rPr>
        <w:t xml:space="preserve">Scope</w:t>
      </w:r>
      <w:r>
        <w:t xml:space="preserve">: Material behavior only —</w:t>
      </w:r>
      <w:r>
        <w:t xml:space="preserve"> </w:t>
      </w:r>
      <w:r>
        <w:rPr>
          <w:i/>
          <w:iCs/>
        </w:rPr>
        <w:t xml:space="preserve">no designs, no feasibility conclusions</w:t>
      </w:r>
      <w:r>
        <w:t xml:space="preserve">.</w:t>
      </w:r>
      <w:r>
        <w:br/>
      </w:r>
      <w:r>
        <w:t xml:space="preserve">Detailed decisions belong in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canvases.</w:t>
      </w:r>
    </w:p>
    <w:p>
      <w:r>
        <w:pict>
          <v:rect style="width:0;height:1.5pt" o:hralign="center" o:hrstd="t" o:hr="t"/>
        </w:pict>
      </w:r>
    </w:p>
    <w:bookmarkStart w:id="20" w:name="pla-pla"/>
    <w:p>
      <w:pPr>
        <w:pStyle w:val="Heading2"/>
      </w:pPr>
      <w:r>
        <w:t xml:space="preserve">PLA / PLA+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Softens early; deformation can occur well below boiling water</w:t>
      </w:r>
      <w:r>
        <w:t xml:space="preserve"> </w:t>
      </w:r>
      <w:r>
        <w:t xml:space="preserve">- Poor for warm environments or heat soak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Weak against petroleum products and solvents</w:t>
      </w:r>
      <w:r>
        <w:t xml:space="preserve"> </w:t>
      </w:r>
      <w:r>
        <w:t xml:space="preserve">- Alcohol wipes generally tolerated briefly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Stable in cold water</w:t>
      </w:r>
      <w:r>
        <w:t xml:space="preserve"> </w:t>
      </w:r>
      <w:r>
        <w:t xml:space="preserve">- Hot water causes softening and creep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Rigid but brittle</w:t>
      </w:r>
      <w:r>
        <w:t xml:space="preserve"> </w:t>
      </w:r>
      <w:r>
        <w:t xml:space="preserve">- Poor long‑term creep resistance under load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Visual, low‑stress, indoor parts</w:t>
      </w:r>
      <w:r>
        <w:t xml:space="preserve"> </w:t>
      </w:r>
      <w:r>
        <w:t xml:space="preserve">- Avoid heat, oils, fuels, long soaks</w:t>
      </w:r>
    </w:p>
    <w:p>
      <w:r>
        <w:pict>
          <v:rect style="width:0;height:1.5pt" o:hralign="center" o:hrstd="t" o:hr="t"/>
        </w:pict>
      </w:r>
    </w:p>
    <w:bookmarkEnd w:id="20"/>
    <w:bookmarkStart w:id="21" w:name="petg"/>
    <w:p>
      <w:pPr>
        <w:pStyle w:val="Heading2"/>
      </w:pPr>
      <w:r>
        <w:t xml:space="preserve">PETG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Better than PLA but still creeps under sustained warmth</w:t>
      </w:r>
      <w:r>
        <w:t xml:space="preserve"> </w:t>
      </w:r>
      <w:r>
        <w:t xml:space="preserve">- Not suitable for high‑heat soak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Tolerates water‑based cleaners</w:t>
      </w:r>
      <w:r>
        <w:t xml:space="preserve"> </w:t>
      </w:r>
      <w:r>
        <w:t xml:space="preserve">- Marginal with oils and petroleum over time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Good water resistance</w:t>
      </w:r>
      <w:r>
        <w:t xml:space="preserve"> </w:t>
      </w:r>
      <w:r>
        <w:t xml:space="preserve">- Dishwasher / steam not recommended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Tough, flexible compared to PLA</w:t>
      </w:r>
      <w:r>
        <w:t xml:space="preserve"> </w:t>
      </w:r>
      <w:r>
        <w:t xml:space="preserve">- Can creep under load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General shop containers, guards, light enclosures</w:t>
      </w:r>
      <w:r>
        <w:t xml:space="preserve"> </w:t>
      </w:r>
      <w:r>
        <w:t xml:space="preserve">- Avoid long‑term oil or solvent exposure</w:t>
      </w:r>
    </w:p>
    <w:p>
      <w:r>
        <w:pict>
          <v:rect style="width:0;height:1.5pt" o:hralign="center" o:hrstd="t" o:hr="t"/>
        </w:pict>
      </w:r>
    </w:p>
    <w:bookmarkEnd w:id="21"/>
    <w:bookmarkStart w:id="22" w:name="tpu-95a"/>
    <w:p>
      <w:pPr>
        <w:pStyle w:val="Heading2"/>
      </w:pPr>
      <w:r>
        <w:t xml:space="preserve">TPU (95A)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Low heat tolerance</w:t>
      </w:r>
      <w:r>
        <w:t xml:space="preserve"> </w:t>
      </w:r>
      <w:r>
        <w:t xml:space="preserve">- Softens and deforms easily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Generally resistant to oils and greases</w:t>
      </w:r>
      <w:r>
        <w:t xml:space="preserve"> </w:t>
      </w:r>
      <w:r>
        <w:t xml:space="preserve">- Solvents can swell material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Excellent water resistance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Flexible, impact resistant</w:t>
      </w:r>
      <w:r>
        <w:t xml:space="preserve"> </w:t>
      </w:r>
      <w:r>
        <w:t xml:space="preserve">- Poor structural stiffness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Gaskets, bumpers, vibration isolation</w:t>
      </w:r>
      <w:r>
        <w:t xml:space="preserve"> </w:t>
      </w:r>
      <w:r>
        <w:t xml:space="preserve">- Not structural; not for sharp edges</w:t>
      </w:r>
    </w:p>
    <w:p>
      <w:r>
        <w:pict>
          <v:rect style="width:0;height:1.5pt" o:hralign="center" o:hrstd="t" o:hr="t"/>
        </w:pict>
      </w:r>
    </w:p>
    <w:bookmarkEnd w:id="22"/>
    <w:bookmarkStart w:id="23" w:name="abs"/>
    <w:p>
      <w:pPr>
        <w:pStyle w:val="Heading2"/>
      </w:pPr>
      <w:r>
        <w:t xml:space="preserve">ABS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Good heat resistance</w:t>
      </w:r>
      <w:r>
        <w:t xml:space="preserve"> </w:t>
      </w:r>
      <w:r>
        <w:t xml:space="preserve">- Better creep resistance than PETG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Resistant to many household chemicals</w:t>
      </w:r>
      <w:r>
        <w:t xml:space="preserve"> </w:t>
      </w:r>
      <w:r>
        <w:t xml:space="preserve">- Attacked by some solvents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Good water resistance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Tough, moderately flexible</w:t>
      </w:r>
      <w:r>
        <w:t xml:space="preserve"> </w:t>
      </w:r>
      <w:r>
        <w:t xml:space="preserve">- Can crack under UV over time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Enclosures, moderate‑heat shop parts</w:t>
      </w:r>
      <w:r>
        <w:t xml:space="preserve"> </w:t>
      </w:r>
      <w:r>
        <w:t xml:space="preserve">- Indoor or protected outdoor use</w:t>
      </w:r>
    </w:p>
    <w:p>
      <w:r>
        <w:pict>
          <v:rect style="width:0;height:1.5pt" o:hralign="center" o:hrstd="t" o:hr="t"/>
        </w:pict>
      </w:r>
    </w:p>
    <w:bookmarkEnd w:id="23"/>
    <w:bookmarkStart w:id="24" w:name="asa"/>
    <w:p>
      <w:pPr>
        <w:pStyle w:val="Heading2"/>
      </w:pPr>
      <w:r>
        <w:t xml:space="preserve">ASA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Similar to ABS with improved stability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Good resistance to oils and cleaners</w:t>
      </w:r>
      <w:r>
        <w:t xml:space="preserve"> </w:t>
      </w:r>
      <w:r>
        <w:t xml:space="preserve">- Still not solvent‑proof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Good water resistance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Tough and stable</w:t>
      </w:r>
      <w:r>
        <w:t xml:space="preserve"> </w:t>
      </w:r>
      <w:r>
        <w:t xml:space="preserve">- Better long‑term performance than ABS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Outdoor parts, sun exposure</w:t>
      </w:r>
      <w:r>
        <w:t xml:space="preserve"> </w:t>
      </w:r>
      <w:r>
        <w:t xml:space="preserve">- Preferred ABS alternative when printing allows</w:t>
      </w:r>
    </w:p>
    <w:p>
      <w:r>
        <w:pict>
          <v:rect style="width:0;height:1.5pt" o:hralign="center" o:hrstd="t" o:hr="t"/>
        </w:pict>
      </w:r>
    </w:p>
    <w:bookmarkEnd w:id="24"/>
    <w:bookmarkStart w:id="26" w:name="nylon-pa-general"/>
    <w:p>
      <w:pPr>
        <w:pStyle w:val="Heading2"/>
      </w:pPr>
      <w:r>
        <w:t xml:space="preserve">Nylon (PA – general)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Good heat resistance</w:t>
      </w:r>
      <w:r>
        <w:t xml:space="preserve"> </w:t>
      </w:r>
      <w:r>
        <w:t xml:space="preserve">- Maintains strength under warmth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Excellent resistance to oils, fuels, greases</w:t>
      </w:r>
      <w:r>
        <w:t xml:space="preserve"> </w:t>
      </w:r>
      <w:r>
        <w:t xml:space="preserve">- Variable solvent sensitivity by formulation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Hygroscopic; absorbs moisture</w:t>
      </w:r>
      <w:r>
        <w:t xml:space="preserve"> </w:t>
      </w:r>
      <w:r>
        <w:t xml:space="preserve">- Wet nylon changes dimensions and strength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Strong, tough, fatigue resistant</w:t>
      </w:r>
      <w:r>
        <w:t xml:space="preserve"> </w:t>
      </w:r>
      <w:r>
        <w:t xml:space="preserve">- Can creep under constant load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Functional mechanical parts</w:t>
      </w:r>
      <w:r>
        <w:t xml:space="preserve"> </w:t>
      </w:r>
      <w:r>
        <w:t xml:space="preserve">- Requires drying and moisture control</w:t>
      </w:r>
    </w:p>
    <w:bookmarkStart w:id="25" w:name="nylon-designations-quick-guide"/>
    <w:p>
      <w:pPr>
        <w:pStyle w:val="Heading3"/>
      </w:pPr>
      <w:r>
        <w:t xml:space="preserve">Nylon Designations (Quick Guide)</w:t>
      </w:r>
    </w:p>
    <w:p>
      <w:pPr>
        <w:pStyle w:val="FirstParagraph"/>
      </w:pPr>
      <w:r>
        <w:rPr>
          <w:b/>
          <w:bCs/>
        </w:rPr>
        <w:t xml:space="preserve">PA6</w:t>
      </w:r>
      <w:r>
        <w:t xml:space="preserve"> </w:t>
      </w:r>
      <w:r>
        <w:t xml:space="preserve">- High strength, high moisture absorption</w:t>
      </w:r>
      <w:r>
        <w:t xml:space="preserve"> </w:t>
      </w:r>
      <w:r>
        <w:t xml:space="preserve">- Excellent oil and fuel resistance</w:t>
      </w:r>
      <w:r>
        <w:t xml:space="preserve"> </w:t>
      </w:r>
      <w:r>
        <w:t xml:space="preserve">- Dimensionally unstable when wet</w:t>
      </w:r>
      <w:r>
        <w:t xml:space="preserve"> </w:t>
      </w:r>
      <w:r>
        <w:t xml:space="preserve">- Harder to print</w:t>
      </w:r>
    </w:p>
    <w:p>
      <w:pPr>
        <w:pStyle w:val="BodyText"/>
      </w:pPr>
      <w:r>
        <w:rPr>
          <w:b/>
          <w:bCs/>
        </w:rPr>
        <w:t xml:space="preserve">PA66 (Nylon 6,6)</w:t>
      </w:r>
      <w:r>
        <w:t xml:space="preserve"> </w:t>
      </w:r>
      <w:r>
        <w:t xml:space="preserve">- Higher stiffness and heat resistance than PA6</w:t>
      </w:r>
      <w:r>
        <w:t xml:space="preserve"> </w:t>
      </w:r>
      <w:r>
        <w:t xml:space="preserve">- High moisture absorption</w:t>
      </w:r>
      <w:r>
        <w:t xml:space="preserve"> </w:t>
      </w:r>
      <w:r>
        <w:t xml:space="preserve">- Rare as pure consumer filament</w:t>
      </w:r>
      <w:r>
        <w:t xml:space="preserve"> </w:t>
      </w:r>
      <w:r>
        <w:t xml:space="preserve">- Often used in reinforced blends</w:t>
      </w:r>
    </w:p>
    <w:p>
      <w:pPr>
        <w:pStyle w:val="BodyText"/>
      </w:pPr>
      <w:r>
        <w:rPr>
          <w:b/>
          <w:bCs/>
        </w:rPr>
        <w:t xml:space="preserve">PA12</w:t>
      </w:r>
      <w:r>
        <w:t xml:space="preserve"> </w:t>
      </w:r>
      <w:r>
        <w:t xml:space="preserve">- Lower strength, much lower moisture absorption</w:t>
      </w:r>
      <w:r>
        <w:t xml:space="preserve"> </w:t>
      </w:r>
      <w:r>
        <w:t xml:space="preserve">- Very good chemical resistance</w:t>
      </w:r>
      <w:r>
        <w:t xml:space="preserve"> </w:t>
      </w:r>
      <w:r>
        <w:t xml:space="preserve">- Best dimensional stability</w:t>
      </w:r>
      <w:r>
        <w:t xml:space="preserve"> </w:t>
      </w:r>
      <w:r>
        <w:t xml:space="preserve">- Most printer-friendly nylon</w:t>
      </w:r>
    </w:p>
    <w:p>
      <w:pPr>
        <w:pStyle w:val="BodyText"/>
      </w:pPr>
      <w:r>
        <w:rPr>
          <w:b/>
          <w:bCs/>
        </w:rPr>
        <w:t xml:space="preserve">PA610 / PA612</w:t>
      </w:r>
      <w:r>
        <w:t xml:space="preserve"> </w:t>
      </w:r>
      <w:r>
        <w:t xml:space="preserve">- Balanced strength and stability</w:t>
      </w:r>
      <w:r>
        <w:t xml:space="preserve"> </w:t>
      </w:r>
      <w:r>
        <w:t xml:space="preserve">- Lower moisture absorption than PA6/66</w:t>
      </w:r>
      <w:r>
        <w:t xml:space="preserve"> </w:t>
      </w:r>
      <w:r>
        <w:t xml:space="preserve">- Excellent chemical resistance</w:t>
      </w:r>
      <w:r>
        <w:t xml:space="preserve"> </w:t>
      </w:r>
      <w:r>
        <w:t xml:space="preserve">- Good long-term performance</w:t>
      </w:r>
    </w:p>
    <w:p>
      <w:pPr>
        <w:pStyle w:val="BodyText"/>
      </w:pPr>
      <w:r>
        <w:rPr>
          <w:b/>
          <w:bCs/>
        </w:rPr>
        <w:t xml:space="preserve">PA-CF / PA-GF (Filled Nylons)</w:t>
      </w:r>
      <w:r>
        <w:t xml:space="preserve"> </w:t>
      </w:r>
      <w:r>
        <w:t xml:space="preserve">- Much stiffer, lower creep</w:t>
      </w:r>
      <w:r>
        <w:t xml:space="preserve"> </w:t>
      </w:r>
      <w:r>
        <w:t xml:space="preserve">- Reduced warping</w:t>
      </w:r>
      <w:r>
        <w:t xml:space="preserve"> </w:t>
      </w:r>
      <w:r>
        <w:t xml:space="preserve">- More brittle than unfilled PA</w:t>
      </w:r>
      <w:r>
        <w:t xml:space="preserve"> </w:t>
      </w:r>
      <w:r>
        <w:t xml:space="preserve">- Abrasive; hardened nozzle required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dpe-pp-nonprinted-liners-inserts"/>
    <w:p>
      <w:pPr>
        <w:pStyle w:val="Heading2"/>
      </w:pPr>
      <w:r>
        <w:t xml:space="preserve">HDPE / PP (Non‑Printed Liners / Inserts)</w:t>
      </w:r>
    </w:p>
    <w:p>
      <w:pPr>
        <w:pStyle w:val="FirstParagraph"/>
      </w:pPr>
      <w:r>
        <w:rPr>
          <w:b/>
          <w:bCs/>
        </w:rPr>
        <w:t xml:space="preserve">Heat</w:t>
      </w:r>
      <w:r>
        <w:t xml:space="preserve"> </w:t>
      </w:r>
      <w:r>
        <w:t xml:space="preserve">- Moderate heat tolerance</w:t>
      </w:r>
      <w:r>
        <w:t xml:space="preserve"> </w:t>
      </w:r>
      <w:r>
        <w:t xml:space="preserve">- Not structural at elevated temps</w:t>
      </w:r>
    </w:p>
    <w:p>
      <w:pPr>
        <w:pStyle w:val="BodyText"/>
      </w:pPr>
      <w:r>
        <w:rPr>
          <w:b/>
          <w:bCs/>
        </w:rPr>
        <w:t xml:space="preserve">Chemicals</w:t>
      </w:r>
      <w:r>
        <w:t xml:space="preserve"> </w:t>
      </w:r>
      <w:r>
        <w:t xml:space="preserve">- Excellent chemical resistance</w:t>
      </w:r>
      <w:r>
        <w:t xml:space="preserve"> </w:t>
      </w:r>
      <w:r>
        <w:t xml:space="preserve">- Suitable for petroleum and solvents</w:t>
      </w:r>
    </w:p>
    <w:p>
      <w:pPr>
        <w:pStyle w:val="BodyText"/>
      </w:pPr>
      <w:r>
        <w:rPr>
          <w:b/>
          <w:bCs/>
        </w:rPr>
        <w:t xml:space="preserve">Water</w:t>
      </w:r>
      <w:r>
        <w:t xml:space="preserve"> </w:t>
      </w:r>
      <w:r>
        <w:t xml:space="preserve">- Excellent</w:t>
      </w:r>
    </w:p>
    <w:p>
      <w:pPr>
        <w:pStyle w:val="BodyText"/>
      </w:pPr>
      <w:r>
        <w:rPr>
          <w:b/>
          <w:bCs/>
        </w:rPr>
        <w:t xml:space="preserve">Mechanical</w:t>
      </w:r>
      <w:r>
        <w:t xml:space="preserve"> </w:t>
      </w:r>
      <w:r>
        <w:t xml:space="preserve">- Flexible, low stiffness</w:t>
      </w:r>
    </w:p>
    <w:p>
      <w:pPr>
        <w:pStyle w:val="BodyText"/>
      </w:pPr>
      <w:r>
        <w:rPr>
          <w:b/>
          <w:bCs/>
        </w:rPr>
        <w:t xml:space="preserve">Notes / Best Use</w:t>
      </w:r>
      <w:r>
        <w:t xml:space="preserve"> </w:t>
      </w:r>
      <w:r>
        <w:t xml:space="preserve">- Liners, inserts, chemical containment</w:t>
      </w:r>
      <w:r>
        <w:t xml:space="preserve"> </w:t>
      </w:r>
      <w:r>
        <w:t xml:space="preserve">- Pair with printed structure for hybrid designs</w:t>
      </w:r>
    </w:p>
    <w:p>
      <w:r>
        <w:pict>
          <v:rect style="width:0;height:1.5pt" o:hralign="center" o:hrstd="t" o:hr="t"/>
        </w:pict>
      </w:r>
    </w:p>
    <w:bookmarkEnd w:id="27"/>
    <w:bookmarkStart w:id="28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Keep this canvas short and scannable</w:t>
      </w:r>
    </w:p>
    <w:p>
      <w:pPr>
        <w:pStyle w:val="Compact"/>
        <w:numPr>
          <w:ilvl w:val="0"/>
          <w:numId w:val="1001"/>
        </w:numPr>
      </w:pPr>
      <w:r>
        <w:t xml:space="preserve">Use scenario canvases for decisions</w:t>
      </w:r>
    </w:p>
    <w:p>
      <w:pPr>
        <w:pStyle w:val="Compact"/>
        <w:numPr>
          <w:ilvl w:val="0"/>
          <w:numId w:val="1001"/>
        </w:numPr>
      </w:pPr>
      <w:r>
        <w:t xml:space="preserve">Structural design guidance lives elsewhere</w:t>
      </w:r>
    </w:p>
    <w:p>
      <w:r>
        <w:pict>
          <v:rect style="width:0;height:1.5pt" o:hralign="center" o:hrstd="t" o:hr="t"/>
        </w:pict>
      </w:r>
    </w:p>
    <w:bookmarkEnd w:id="28"/>
    <w:bookmarkStart w:id="36" w:name="topics-to-cover-later-backlog"/>
    <w:p>
      <w:pPr>
        <w:pStyle w:val="Heading2"/>
      </w:pPr>
      <w:r>
        <w:t xml:space="preserve">Topics to Cover Later (Backlog)</w:t>
      </w:r>
    </w:p>
    <w:p>
      <w:pPr>
        <w:pStyle w:val="FirstParagraph"/>
      </w:pPr>
      <w:r>
        <w:rPr>
          <w:i/>
          <w:iCs/>
        </w:rPr>
        <w:t xml:space="preserve">(High-level placeholders — to be expanded only if/when needed)</w:t>
      </w:r>
    </w:p>
    <w:bookmarkStart w:id="29" w:name="material-designations-naming"/>
    <w:p>
      <w:pPr>
        <w:pStyle w:val="Heading3"/>
      </w:pPr>
      <w:r>
        <w:t xml:space="preserve">Material Designations &amp; Naming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 variants</w:t>
      </w:r>
      <w:r>
        <w:t xml:space="preserve">: PLA, PLA+, Tough PLA, HT-PLA (what is chemistry vs marketing)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PET-based materials</w:t>
      </w:r>
      <w:r>
        <w:t xml:space="preserve">: PETG, PET, PETT, PETG blends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Nylon blends</w:t>
      </w:r>
      <w:r>
        <w:t xml:space="preserve">: how</w:t>
      </w:r>
      <w:r>
        <w:t xml:space="preserve"> </w:t>
      </w:r>
      <w:r>
        <w:t xml:space="preserve">“PA blend”</w:t>
      </w:r>
      <w:r>
        <w:t xml:space="preserve"> </w:t>
      </w:r>
      <w:r>
        <w:t xml:space="preserve">labels differ from true PA designations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Elastomer naming</w:t>
      </w:r>
      <w:r>
        <w:t xml:space="preserve">: TPU vs TPE vs hardness ratings (e.g., 95A)</w:t>
      </w:r>
    </w:p>
    <w:bookmarkEnd w:id="29"/>
    <w:bookmarkStart w:id="30" w:name="marketing-vs-real-specifications"/>
    <w:p>
      <w:pPr>
        <w:pStyle w:val="Heading3"/>
      </w:pPr>
      <w:r>
        <w:t xml:space="preserve">Marketing vs Real Specifications</w:t>
      </w:r>
    </w:p>
    <w:p>
      <w:pPr>
        <w:pStyle w:val="Compact"/>
        <w:numPr>
          <w:ilvl w:val="0"/>
          <w:numId w:val="1003"/>
        </w:numPr>
      </w:pPr>
      <w:r>
        <w:t xml:space="preserve">What terms are</w:t>
      </w:r>
      <w:r>
        <w:t xml:space="preserve"> </w:t>
      </w:r>
      <w:r>
        <w:rPr>
          <w:b/>
          <w:bCs/>
        </w:rPr>
        <w:t xml:space="preserve">not standardized</w:t>
      </w:r>
      <w:r>
        <w:t xml:space="preserve"> </w:t>
      </w:r>
      <w:r>
        <w:t xml:space="preserve">(PLA+, Tough, Pro, Max)</w:t>
      </w:r>
    </w:p>
    <w:p>
      <w:pPr>
        <w:pStyle w:val="Compact"/>
        <w:numPr>
          <w:ilvl w:val="0"/>
          <w:numId w:val="1003"/>
        </w:numPr>
      </w:pPr>
      <w:r>
        <w:t xml:space="preserve">How to identify</w:t>
      </w:r>
      <w:r>
        <w:t xml:space="preserve"> </w:t>
      </w:r>
      <w:r>
        <w:rPr>
          <w:b/>
          <w:bCs/>
        </w:rPr>
        <w:t xml:space="preserve">genuine material differences</w:t>
      </w:r>
      <w:r>
        <w:t xml:space="preserve"> </w:t>
      </w:r>
      <w:r>
        <w:t xml:space="preserve">vs brand hype</w:t>
      </w:r>
    </w:p>
    <w:p>
      <w:pPr>
        <w:pStyle w:val="Compact"/>
        <w:numPr>
          <w:ilvl w:val="0"/>
          <w:numId w:val="1003"/>
        </w:numPr>
      </w:pPr>
      <w:r>
        <w:t xml:space="preserve">What properties are commonly exaggerated (heat resistance, food safety)</w:t>
      </w:r>
    </w:p>
    <w:bookmarkEnd w:id="30"/>
    <w:bookmarkStart w:id="31" w:name="heat-related-claims"/>
    <w:p>
      <w:pPr>
        <w:pStyle w:val="Heading3"/>
      </w:pPr>
      <w:r>
        <w:t xml:space="preserve">Heat-Related Claims</w:t>
      </w:r>
    </w:p>
    <w:p>
      <w:pPr>
        <w:pStyle w:val="Compact"/>
        <w:numPr>
          <w:ilvl w:val="0"/>
          <w:numId w:val="1004"/>
        </w:numPr>
      </w:pPr>
      <w:r>
        <w:t xml:space="preserve">HT-PLA: annealing-required vs true high-temp polymers</w:t>
      </w:r>
    </w:p>
    <w:p>
      <w:pPr>
        <w:pStyle w:val="Compact"/>
        <w:numPr>
          <w:ilvl w:val="0"/>
          <w:numId w:val="1004"/>
        </w:numPr>
      </w:pPr>
      <w:r>
        <w:t xml:space="preserve">Glass transition (Tg) vs real-world usable temperature</w:t>
      </w:r>
    </w:p>
    <w:p>
      <w:pPr>
        <w:pStyle w:val="Compact"/>
        <w:numPr>
          <w:ilvl w:val="0"/>
          <w:numId w:val="1004"/>
        </w:numPr>
      </w:pPr>
      <w:r>
        <w:t xml:space="preserve">Short-term vs sustained heat exposure claims</w:t>
      </w:r>
    </w:p>
    <w:bookmarkEnd w:id="31"/>
    <w:bookmarkStart w:id="32" w:name="standards-regulations"/>
    <w:p>
      <w:pPr>
        <w:pStyle w:val="Heading3"/>
      </w:pPr>
      <w:r>
        <w:t xml:space="preserve">Standards &amp; Regulations</w:t>
      </w:r>
    </w:p>
    <w:p>
      <w:pPr>
        <w:pStyle w:val="Compact"/>
        <w:numPr>
          <w:ilvl w:val="0"/>
          <w:numId w:val="1005"/>
        </w:numPr>
      </w:pPr>
      <w:r>
        <w:t xml:space="preserve">Are there</w:t>
      </w:r>
      <w:r>
        <w:t xml:space="preserve"> </w:t>
      </w:r>
      <w:r>
        <w:rPr>
          <w:b/>
          <w:bCs/>
        </w:rPr>
        <w:t xml:space="preserve">industry-wide specs</w:t>
      </w:r>
      <w:r>
        <w:t xml:space="preserve"> </w:t>
      </w:r>
      <w:r>
        <w:t xml:space="preserve">for filament materials? (short answer: mostly no)</w:t>
      </w:r>
    </w:p>
    <w:p>
      <w:pPr>
        <w:pStyle w:val="Compact"/>
        <w:numPr>
          <w:ilvl w:val="0"/>
          <w:numId w:val="1005"/>
        </w:numPr>
      </w:pPr>
      <w:r>
        <w:t xml:space="preserve">Relevant standards bodies:</w:t>
      </w:r>
    </w:p>
    <w:p>
      <w:pPr>
        <w:pStyle w:val="Compact"/>
        <w:numPr>
          <w:ilvl w:val="1"/>
          <w:numId w:val="1006"/>
        </w:numPr>
      </w:pPr>
      <w:r>
        <w:t xml:space="preserve">ASTM / ISO material definitions (raw polymer level)</w:t>
      </w:r>
    </w:p>
    <w:p>
      <w:pPr>
        <w:pStyle w:val="Compact"/>
        <w:numPr>
          <w:ilvl w:val="1"/>
          <w:numId w:val="1006"/>
        </w:numPr>
      </w:pPr>
      <w:r>
        <w:t xml:space="preserve">FDA / EU food-contact regulations (raw material vs printed object)</w:t>
      </w:r>
    </w:p>
    <w:p>
      <w:pPr>
        <w:pStyle w:val="Compact"/>
        <w:numPr>
          <w:ilvl w:val="0"/>
          <w:numId w:val="1005"/>
        </w:numPr>
      </w:pPr>
      <w:r>
        <w:t xml:space="preserve">Why filament labels rarely equal certified end-use parts</w:t>
      </w:r>
    </w:p>
    <w:bookmarkEnd w:id="32"/>
    <w:bookmarkStart w:id="33" w:name="food-grade-safety-claims"/>
    <w:p>
      <w:pPr>
        <w:pStyle w:val="Heading3"/>
      </w:pPr>
      <w:r>
        <w:t xml:space="preserve">Food-Grade &amp; Safety Claims</w:t>
      </w:r>
    </w:p>
    <w:p>
      <w:pPr>
        <w:pStyle w:val="Compact"/>
        <w:numPr>
          <w:ilvl w:val="0"/>
          <w:numId w:val="1007"/>
        </w:numPr>
      </w:pPr>
      <w:r>
        <w:t xml:space="preserve">“Food-safe”</w:t>
      </w:r>
      <w:r>
        <w:t xml:space="preserve"> </w:t>
      </w:r>
      <w:r>
        <w:t xml:space="preserve">filament vs food-safe finished part</w:t>
      </w:r>
    </w:p>
    <w:p>
      <w:pPr>
        <w:pStyle w:val="Compact"/>
        <w:numPr>
          <w:ilvl w:val="0"/>
          <w:numId w:val="1007"/>
        </w:numPr>
      </w:pPr>
      <w:r>
        <w:t xml:space="preserve">Raw material certifications vs FDM surface reality</w:t>
      </w:r>
    </w:p>
    <w:p>
      <w:pPr>
        <w:pStyle w:val="Compact"/>
        <w:numPr>
          <w:ilvl w:val="0"/>
          <w:numId w:val="1007"/>
        </w:numPr>
      </w:pPr>
      <w:r>
        <w:t xml:space="preserve">When coatings, liners, or inserts are required</w:t>
      </w:r>
    </w:p>
    <w:p>
      <w:pPr>
        <w:pStyle w:val="Compact"/>
        <w:numPr>
          <w:ilvl w:val="0"/>
          <w:numId w:val="1007"/>
        </w:numPr>
      </w:pPr>
      <w:r>
        <w:t xml:space="preserve">Pet safety considerations vs human food contact</w:t>
      </w:r>
    </w:p>
    <w:bookmarkEnd w:id="33"/>
    <w:bookmarkStart w:id="34" w:name="additive-modifier-effects"/>
    <w:p>
      <w:pPr>
        <w:pStyle w:val="Heading3"/>
      </w:pPr>
      <w:r>
        <w:t xml:space="preserve">Additive &amp; Modifier Effects</w:t>
      </w:r>
    </w:p>
    <w:p>
      <w:pPr>
        <w:pStyle w:val="Compact"/>
        <w:numPr>
          <w:ilvl w:val="0"/>
          <w:numId w:val="1008"/>
        </w:numPr>
      </w:pPr>
      <w:r>
        <w:t xml:space="preserve">Impact of fillers (CF, GF, mineral)</w:t>
      </w:r>
    </w:p>
    <w:p>
      <w:pPr>
        <w:pStyle w:val="Compact"/>
        <w:numPr>
          <w:ilvl w:val="0"/>
          <w:numId w:val="1008"/>
        </w:numPr>
      </w:pPr>
      <w:r>
        <w:t xml:space="preserve">Colorants and their effect on safety and heat</w:t>
      </w:r>
    </w:p>
    <w:p>
      <w:pPr>
        <w:pStyle w:val="Compact"/>
        <w:numPr>
          <w:ilvl w:val="0"/>
          <w:numId w:val="1008"/>
        </w:numPr>
      </w:pPr>
      <w:r>
        <w:t xml:space="preserve">Recycled vs virgin polymer claims</w:t>
      </w:r>
    </w:p>
    <w:bookmarkEnd w:id="34"/>
    <w:bookmarkStart w:id="35" w:name="printing-reality-vs-datasheets"/>
    <w:p>
      <w:pPr>
        <w:pStyle w:val="Heading3"/>
      </w:pPr>
      <w:r>
        <w:t xml:space="preserve">Printing Reality vs Datasheets</w:t>
      </w:r>
    </w:p>
    <w:p>
      <w:pPr>
        <w:pStyle w:val="Compact"/>
        <w:numPr>
          <w:ilvl w:val="0"/>
          <w:numId w:val="1009"/>
        </w:numPr>
      </w:pPr>
      <w:r>
        <w:t xml:space="preserve">Layer adhesion as a failure mode</w:t>
      </w:r>
    </w:p>
    <w:p>
      <w:pPr>
        <w:pStyle w:val="Compact"/>
        <w:numPr>
          <w:ilvl w:val="0"/>
          <w:numId w:val="1009"/>
        </w:numPr>
      </w:pPr>
      <w:r>
        <w:t xml:space="preserve">Porosity and wicking in chemical exposure</w:t>
      </w:r>
    </w:p>
    <w:p>
      <w:pPr>
        <w:pStyle w:val="Compact"/>
        <w:numPr>
          <w:ilvl w:val="0"/>
          <w:numId w:val="1009"/>
        </w:numPr>
      </w:pPr>
      <w:r>
        <w:t xml:space="preserve">Why real-world performance deviates from spec sheets</w:t>
      </w:r>
    </w:p>
    <w:p>
      <w:pPr>
        <w:pStyle w:val="FirstParagraph"/>
      </w:pPr>
      <w:r>
        <w:rPr>
          <w:i/>
          <w:iCs/>
        </w:rPr>
        <w:t xml:space="preserve">(Each topic above should become its own focused canvas only if it proves useful in real scenarios.)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2026-03-26T23:04:02Z</dcterms:created>
  <dcterms:modified xsi:type="dcterms:W3CDTF">2026-03-26T23:04:02Z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