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52bb84c55f3e8332460e591325ba1b8a714eb4"/>
    <w:p>
      <w:pPr>
        <w:pStyle w:val="Heading1"/>
      </w:pPr>
      <w:r>
        <w:t xml:space="preserve">Standards, Certifications, and Why Printed Parts Are Rarely Certified</w:t>
      </w:r>
    </w:p>
    <w:p>
      <w:pPr>
        <w:pStyle w:val="BlockText"/>
      </w:pPr>
      <w:r>
        <w:rPr>
          <w:b/>
          <w:bCs/>
        </w:rPr>
        <w:t xml:space="preserve">Purpose</w:t>
      </w:r>
      <w:r>
        <w:t xml:space="preserve">: Provide a clear, reality-based reference for what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is not</w:t>
      </w:r>
      <w:r>
        <w:t xml:space="preserve"> </w:t>
      </w:r>
      <w:r>
        <w:t xml:space="preserve">governed by standards in the 3D printing world.</w:t>
      </w:r>
    </w:p>
    <w:p>
      <w:pPr>
        <w:pStyle w:val="BlockText"/>
      </w:pPr>
      <w:r>
        <w:rPr>
          <w:b/>
          <w:bCs/>
        </w:rPr>
        <w:t xml:space="preserve">Scope</w:t>
      </w:r>
      <w:r>
        <w:t xml:space="preserve">: Consumer and small-shop 3D printing (FDM-focused).</w:t>
      </w:r>
      <w:r>
        <w:br/>
      </w:r>
      <w:r>
        <w:rPr>
          <w:b/>
          <w:bCs/>
        </w:rPr>
        <w:t xml:space="preserve">Not included</w:t>
      </w:r>
      <w:r>
        <w:t xml:space="preserve">: Scenario decisions, structural design rules, or legal advice.</w:t>
      </w:r>
    </w:p>
    <w:p>
      <w:r>
        <w:pict>
          <v:rect style="width:0;height:1.5pt" o:hralign="center" o:hrstd="t" o:hr="t"/>
        </w:pict>
      </w:r>
    </w:p>
    <w:bookmarkStart w:id="20" w:name="short-answer-executive-summary"/>
    <w:p>
      <w:pPr>
        <w:pStyle w:val="Heading2"/>
      </w:pPr>
      <w:r>
        <w:t xml:space="preserve">Short Answer (Executive Summary)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Yes</w:t>
      </w:r>
      <w:r>
        <w:t xml:space="preserve">, standards and governing bodies exist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</w:t>
      </w:r>
      <w:r>
        <w:t xml:space="preserve">, they rarely apply to consumer filament claims or printed parts</w:t>
      </w:r>
    </w:p>
    <w:p>
      <w:pPr>
        <w:pStyle w:val="Compact"/>
        <w:numPr>
          <w:ilvl w:val="0"/>
          <w:numId w:val="1001"/>
        </w:numPr>
      </w:pPr>
      <w:r>
        <w:t xml:space="preserve">Most standards apply to</w:t>
      </w:r>
      <w:r>
        <w:t xml:space="preserve"> </w:t>
      </w:r>
      <w:r>
        <w:rPr>
          <w:b/>
          <w:bCs/>
        </w:rPr>
        <w:t xml:space="preserve">raw materials, industrial processes, or finished commercial products</w:t>
      </w:r>
      <w:r>
        <w:t xml:space="preserve"> </w:t>
      </w:r>
      <w:r>
        <w:t xml:space="preserve">— not hobbyist prints</w:t>
      </w:r>
    </w:p>
    <w:p>
      <w:r>
        <w:pict>
          <v:rect style="width:0;height:1.5pt" o:hralign="center" o:hrstd="t" o:hr="t"/>
        </w:pict>
      </w:r>
    </w:p>
    <w:bookmarkEnd w:id="20"/>
    <w:bookmarkStart w:id="23" w:name="primary-standards-bodies"/>
    <w:p>
      <w:pPr>
        <w:pStyle w:val="Heading2"/>
      </w:pPr>
      <w:r>
        <w:t xml:space="preserve">Primary Standards Bodies</w:t>
      </w:r>
    </w:p>
    <w:bookmarkStart w:id="21" w:name="astm-iso-additive-manufacturing"/>
    <w:p>
      <w:pPr>
        <w:pStyle w:val="Heading3"/>
      </w:pPr>
      <w:r>
        <w:t xml:space="preserve">ASTM / ISO (Additive Manufacturing)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ASTM F42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ISO TC 261</w:t>
      </w:r>
    </w:p>
    <w:p>
      <w:pPr>
        <w:pStyle w:val="Compact"/>
        <w:numPr>
          <w:ilvl w:val="0"/>
          <w:numId w:val="1002"/>
        </w:numPr>
      </w:pPr>
      <w:r>
        <w:t xml:space="preserve">Define:</w:t>
      </w:r>
    </w:p>
    <w:p>
      <w:pPr>
        <w:pStyle w:val="Compact"/>
        <w:numPr>
          <w:ilvl w:val="1"/>
          <w:numId w:val="1003"/>
        </w:numPr>
      </w:pPr>
      <w:r>
        <w:t xml:space="preserve">Additive manufacturing terminology</w:t>
      </w:r>
    </w:p>
    <w:p>
      <w:pPr>
        <w:pStyle w:val="Compact"/>
        <w:numPr>
          <w:ilvl w:val="1"/>
          <w:numId w:val="1003"/>
        </w:numPr>
      </w:pPr>
      <w:r>
        <w:t xml:space="preserve">Process categories (FDM, SLS, SLA, etc.)</w:t>
      </w:r>
    </w:p>
    <w:p>
      <w:pPr>
        <w:pStyle w:val="Compact"/>
        <w:numPr>
          <w:ilvl w:val="1"/>
          <w:numId w:val="1003"/>
        </w:numPr>
      </w:pPr>
      <w:r>
        <w:t xml:space="preserve">Test methods and qualification frameworks</w:t>
      </w:r>
    </w:p>
    <w:p>
      <w:pPr>
        <w:pStyle w:val="FirstParagraph"/>
      </w:pPr>
      <w:r>
        <w:rPr>
          <w:b/>
          <w:bCs/>
        </w:rPr>
        <w:t xml:space="preserve">Key limitation</w:t>
      </w:r>
      <w:r>
        <w:t xml:space="preserve">:</w:t>
      </w:r>
      <w:r>
        <w:t xml:space="preserve"> </w:t>
      </w:r>
      <w:r>
        <w:t xml:space="preserve">- They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define consumer filament grades like PLA+, PETG+, or HT-PLA</w:t>
      </w:r>
    </w:p>
    <w:p>
      <w:r>
        <w:pict>
          <v:rect style="width:0;height:1.5pt" o:hralign="center" o:hrstd="t" o:hr="t"/>
        </w:pict>
      </w:r>
    </w:p>
    <w:bookmarkEnd w:id="21"/>
    <w:bookmarkStart w:id="22" w:name="iso-astm-polymer-standards"/>
    <w:p>
      <w:pPr>
        <w:pStyle w:val="Heading3"/>
      </w:pPr>
      <w:r>
        <w:t xml:space="preserve">ISO / ASTM Polymer Standards</w:t>
      </w:r>
    </w:p>
    <w:p>
      <w:pPr>
        <w:pStyle w:val="Compact"/>
        <w:numPr>
          <w:ilvl w:val="0"/>
          <w:numId w:val="1004"/>
        </w:numPr>
      </w:pPr>
      <w:r>
        <w:t xml:space="preserve">Apply to</w:t>
      </w:r>
      <w:r>
        <w:t xml:space="preserve"> </w:t>
      </w:r>
      <w:r>
        <w:rPr>
          <w:b/>
          <w:bCs/>
        </w:rPr>
        <w:t xml:space="preserve">bulk polymers</w:t>
      </w:r>
      <w:r>
        <w:t xml:space="preserve"> </w:t>
      </w:r>
      <w:r>
        <w:t xml:space="preserve">(PLA, PA6, PA12, PET, ABS)</w:t>
      </w:r>
    </w:p>
    <w:p>
      <w:pPr>
        <w:pStyle w:val="Compact"/>
        <w:numPr>
          <w:ilvl w:val="0"/>
          <w:numId w:val="1004"/>
        </w:numPr>
      </w:pPr>
      <w:r>
        <w:t xml:space="preserve">Define:</w:t>
      </w:r>
    </w:p>
    <w:p>
      <w:pPr>
        <w:pStyle w:val="Compact"/>
        <w:numPr>
          <w:ilvl w:val="1"/>
          <w:numId w:val="1005"/>
        </w:numPr>
      </w:pPr>
      <w:r>
        <w:t xml:space="preserve">Material composition</w:t>
      </w:r>
    </w:p>
    <w:p>
      <w:pPr>
        <w:pStyle w:val="Compact"/>
        <w:numPr>
          <w:ilvl w:val="1"/>
          <w:numId w:val="1005"/>
        </w:numPr>
      </w:pPr>
      <w:r>
        <w:t xml:space="preserve">Mechanical and thermal test methods</w:t>
      </w:r>
    </w:p>
    <w:p>
      <w:pPr>
        <w:pStyle w:val="FirstParagraph"/>
      </w:pPr>
      <w:r>
        <w:rPr>
          <w:b/>
          <w:bCs/>
        </w:rPr>
        <w:t xml:space="preserve">Critical distinction</w:t>
      </w:r>
      <w:r>
        <w:t xml:space="preserve">:</w:t>
      </w:r>
      <w:r>
        <w:t xml:space="preserve"> </w:t>
      </w:r>
      <w:r>
        <w:t xml:space="preserve">- Once a polymer is</w:t>
      </w:r>
      <w:r>
        <w:t xml:space="preserve"> </w:t>
      </w:r>
      <w:r>
        <w:rPr>
          <w:b/>
          <w:bCs/>
        </w:rPr>
        <w:t xml:space="preserve">3D printed</w:t>
      </w:r>
      <w:r>
        <w:t xml:space="preserve">, the standard no longer applies</w:t>
      </w:r>
      <w:r>
        <w:t xml:space="preserve"> </w:t>
      </w:r>
      <w:r>
        <w:t xml:space="preserve">- Layer orientation, porosity, and print settings invalidate certification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afety-regulatory-bodies"/>
    <w:p>
      <w:pPr>
        <w:pStyle w:val="Heading2"/>
      </w:pPr>
      <w:r>
        <w:t xml:space="preserve">Safety &amp; Regulatory Bodies</w:t>
      </w:r>
    </w:p>
    <w:bookmarkStart w:id="24" w:name="fda-eu-food-contact-regulations"/>
    <w:p>
      <w:pPr>
        <w:pStyle w:val="Heading3"/>
      </w:pPr>
      <w:r>
        <w:t xml:space="preserve">FDA / EU Food-Contact Regulations</w:t>
      </w:r>
    </w:p>
    <w:p>
      <w:pPr>
        <w:pStyle w:val="Compact"/>
        <w:numPr>
          <w:ilvl w:val="0"/>
          <w:numId w:val="1006"/>
        </w:numPr>
      </w:pPr>
      <w:r>
        <w:t xml:space="preserve">Apply only to:</w:t>
      </w:r>
    </w:p>
    <w:p>
      <w:pPr>
        <w:pStyle w:val="Compact"/>
        <w:numPr>
          <w:ilvl w:val="1"/>
          <w:numId w:val="1007"/>
        </w:numPr>
      </w:pPr>
      <w:r>
        <w:t xml:space="preserve">Raw resin pellets</w:t>
      </w:r>
    </w:p>
    <w:p>
      <w:pPr>
        <w:pStyle w:val="Compact"/>
        <w:numPr>
          <w:ilvl w:val="1"/>
          <w:numId w:val="1007"/>
        </w:numPr>
      </w:pPr>
      <w:r>
        <w:t xml:space="preserve">Controlled manufacturing environments</w:t>
      </w:r>
    </w:p>
    <w:p>
      <w:pPr>
        <w:pStyle w:val="FirstParagraph"/>
      </w:pPr>
      <w:r>
        <w:rPr>
          <w:b/>
          <w:bCs/>
        </w:rPr>
        <w:t xml:space="preserve">Do not certify</w:t>
      </w:r>
      <w:r>
        <w:t xml:space="preserve">:</w:t>
      </w:r>
      <w:r>
        <w:t xml:space="preserve"> </w:t>
      </w:r>
      <w:r>
        <w:t xml:space="preserve">- Printed parts</w:t>
      </w:r>
      <w:r>
        <w:t xml:space="preserve"> </w:t>
      </w:r>
      <w:r>
        <w:t xml:space="preserve">- Home-manufactured objects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</w:t>
      </w:r>
      <w:r>
        <w:t xml:space="preserve"> </w:t>
      </w:r>
      <w:r>
        <w:t xml:space="preserve">- Layer lines trap contaminants</w:t>
      </w:r>
      <w:r>
        <w:t xml:space="preserve"> </w:t>
      </w:r>
      <w:r>
        <w:t xml:space="preserve">- No post-print validation or traceability</w:t>
      </w:r>
    </w:p>
    <w:p>
      <w:r>
        <w:pict>
          <v:rect style="width:0;height:1.5pt" o:hralign="center" o:hrstd="t" o:hr="t"/>
        </w:pict>
      </w:r>
    </w:p>
    <w:bookmarkEnd w:id="24"/>
    <w:bookmarkStart w:id="25" w:name="ul-electrical-product-safety"/>
    <w:p>
      <w:pPr>
        <w:pStyle w:val="Heading3"/>
      </w:pPr>
      <w:r>
        <w:t xml:space="preserve">UL / Electrical &amp; Product Safety</w:t>
      </w:r>
    </w:p>
    <w:p>
      <w:pPr>
        <w:pStyle w:val="Compact"/>
        <w:numPr>
          <w:ilvl w:val="0"/>
          <w:numId w:val="1008"/>
        </w:numPr>
      </w:pPr>
      <w:r>
        <w:t xml:space="preserve">May apply to:</w:t>
      </w:r>
    </w:p>
    <w:p>
      <w:pPr>
        <w:pStyle w:val="Compact"/>
        <w:numPr>
          <w:ilvl w:val="1"/>
          <w:numId w:val="1009"/>
        </w:numPr>
      </w:pPr>
      <w:r>
        <w:t xml:space="preserve">Finished consumer products</w:t>
      </w:r>
    </w:p>
    <w:p>
      <w:pPr>
        <w:pStyle w:val="Compact"/>
        <w:numPr>
          <w:ilvl w:val="1"/>
          <w:numId w:val="1009"/>
        </w:numPr>
      </w:pPr>
      <w:r>
        <w:t xml:space="preserve">Commercially manufactured assemblies</w:t>
      </w:r>
    </w:p>
    <w:p>
      <w:pPr>
        <w:pStyle w:val="FirstParagraph"/>
      </w:pPr>
      <w:r>
        <w:t xml:space="preserve">Rarely applies to:</w:t>
      </w:r>
      <w:r>
        <w:t xml:space="preserve"> </w:t>
      </w:r>
      <w:r>
        <w:t xml:space="preserve">- Standalone filament</w:t>
      </w:r>
      <w:r>
        <w:t xml:space="preserve"> </w:t>
      </w:r>
      <w:r>
        <w:t xml:space="preserve">- DIY printed components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at-is-not-standardized-by-design"/>
    <w:p>
      <w:pPr>
        <w:pStyle w:val="Heading2"/>
      </w:pPr>
      <w:r>
        <w:t xml:space="preserve">What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Standardized (By Design)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no industry-wide standards</w:t>
      </w:r>
      <w:r>
        <w:t xml:space="preserve"> </w:t>
      </w:r>
      <w:r>
        <w:t xml:space="preserve">governing:</w:t>
      </w:r>
      <w:r>
        <w:t xml:space="preserve"> </w:t>
      </w:r>
      <w:r>
        <w:t xml:space="preserve">- PLA+</w:t>
      </w:r>
      <w:r>
        <w:t xml:space="preserve"> </w:t>
      </w:r>
      <w:r>
        <w:t xml:space="preserve">- Tough / Pro / Max filaments</w:t>
      </w:r>
      <w:r>
        <w:t xml:space="preserve"> </w:t>
      </w:r>
      <w:r>
        <w:t xml:space="preserve">- PETG+</w:t>
      </w:r>
      <w:r>
        <w:t xml:space="preserve"> </w:t>
      </w:r>
      <w:r>
        <w:t xml:space="preserve">- HT-PLA (as a class)</w:t>
      </w:r>
      <w:r>
        <w:t xml:space="preserve"> </w:t>
      </w:r>
      <w:r>
        <w:t xml:space="preserve">-</w:t>
      </w:r>
      <w:r>
        <w:t xml:space="preserve"> </w:t>
      </w:r>
      <w:r>
        <w:t xml:space="preserve">“Food-safe filament”</w:t>
      </w:r>
      <w:r>
        <w:t xml:space="preserve"> </w:t>
      </w:r>
      <w:r>
        <w:t xml:space="preserve">-</w:t>
      </w:r>
      <w:r>
        <w:t xml:space="preserve"> </w:t>
      </w:r>
      <w:r>
        <w:t xml:space="preserve">“Chemical resistant”</w:t>
      </w:r>
      <w:r>
        <w:t xml:space="preserve"> </w:t>
      </w:r>
      <w:r>
        <w:t xml:space="preserve">filament claims</w:t>
      </w:r>
    </w:p>
    <w:p>
      <w:pPr>
        <w:pStyle w:val="Body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manufacturer-defined marketing terms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d15f6f3882eea4f97c16cb1147b56738e79aa17"/>
    <w:p>
      <w:pPr>
        <w:pStyle w:val="Heading2"/>
      </w:pPr>
      <w:r>
        <w:t xml:space="preserve">Why 3D Printing Lacks USB-Style Standards</w:t>
      </w:r>
    </w:p>
    <w:p>
      <w:pPr>
        <w:pStyle w:val="FirstParagraph"/>
      </w:pPr>
      <w:r>
        <w:t xml:space="preserve">Unlike USB or Wi-Fi:</w:t>
      </w:r>
      <w:r>
        <w:t xml:space="preserve"> </w:t>
      </w:r>
      <w:r>
        <w:t xml:space="preserve">- Printed part performance depends on:</w:t>
      </w:r>
      <w:r>
        <w:t xml:space="preserve"> </w:t>
      </w:r>
      <w:r>
        <w:t xml:space="preserve">- Printer model</w:t>
      </w:r>
      <w:r>
        <w:t xml:space="preserve"> </w:t>
      </w:r>
      <w:r>
        <w:t xml:space="preserve">- Slicer settings</w:t>
      </w:r>
      <w:r>
        <w:t xml:space="preserve"> </w:t>
      </w:r>
      <w:r>
        <w:t xml:space="preserve">- Orientation and layer bonding</w:t>
      </w:r>
      <w:r>
        <w:t xml:space="preserve"> </w:t>
      </w:r>
      <w:r>
        <w:t xml:space="preserve">- Environment and use case</w:t>
      </w:r>
    </w:p>
    <w:p>
      <w:pPr>
        <w:pStyle w:val="BodyText"/>
      </w:pPr>
      <w:r>
        <w:t xml:space="preserve">Certifying every possible combination would be impractical.</w:t>
      </w:r>
    </w:p>
    <w:p>
      <w:r>
        <w:pict>
          <v:rect style="width:0;height:1.5pt" o:hralign="center" o:hrstd="t" o:hr="t"/>
        </w:pict>
      </w:r>
    </w:p>
    <w:bookmarkEnd w:id="28"/>
    <w:bookmarkStart w:id="29" w:name="practical-design-rule"/>
    <w:p>
      <w:pPr>
        <w:pStyle w:val="Heading2"/>
      </w:pPr>
      <w:r>
        <w:t xml:space="preserve">Practical Design Rule</w:t>
      </w:r>
    </w:p>
    <w:p>
      <w:pPr>
        <w:pStyle w:val="BlockText"/>
      </w:pPr>
      <w:r>
        <w:rPr>
          <w:b/>
          <w:bCs/>
        </w:rPr>
        <w:t xml:space="preserve">Standards define polymers and processes — scenarios define usability.</w:t>
      </w:r>
    </w:p>
    <w:p>
      <w:pPr>
        <w:pStyle w:val="FirstParagraph"/>
      </w:pPr>
      <w:r>
        <w:t xml:space="preserve">Use:</w:t>
      </w:r>
      <w:r>
        <w:t xml:space="preserve"> </w:t>
      </w:r>
      <w:r>
        <w:t xml:space="preserve">- Material standards for</w:t>
      </w:r>
      <w:r>
        <w:t xml:space="preserve"> </w:t>
      </w:r>
      <w:r>
        <w:rPr>
          <w:b/>
          <w:bCs/>
        </w:rPr>
        <w:t xml:space="preserve">baseline expectations</w:t>
      </w:r>
      <w:r>
        <w:t xml:space="preserve"> </w:t>
      </w:r>
      <w:r>
        <w:t xml:space="preserve">- Scenario evaluation for</w:t>
      </w:r>
      <w:r>
        <w:t xml:space="preserve"> </w:t>
      </w:r>
      <w:r>
        <w:rPr>
          <w:b/>
          <w:bCs/>
        </w:rPr>
        <w:t xml:space="preserve">real-world decisions</w:t>
      </w:r>
    </w:p>
    <w:p>
      <w:r>
        <w:pict>
          <v:rect style="width:0;height:1.5pt" o:hralign="center" o:hrstd="t" o:hr="t"/>
        </w:pict>
      </w:r>
    </w:p>
    <w:bookmarkEnd w:id="29"/>
    <w:bookmarkStart w:id="30" w:name="how-this-canvas-fits"/>
    <w:p>
      <w:pPr>
        <w:pStyle w:val="Heading2"/>
      </w:pPr>
      <w:r>
        <w:t xml:space="preserve">How This Canvas Fits</w:t>
      </w:r>
    </w:p>
    <w:p>
      <w:pPr>
        <w:pStyle w:val="Compact"/>
        <w:numPr>
          <w:ilvl w:val="0"/>
          <w:numId w:val="1010"/>
        </w:numPr>
      </w:pPr>
      <w:r>
        <w:t xml:space="preserve">Supports</w:t>
      </w:r>
      <w:r>
        <w:t xml:space="preserve"> </w:t>
      </w:r>
      <w:r>
        <w:rPr>
          <w:b/>
          <w:bCs/>
        </w:rPr>
        <w:t xml:space="preserve">Material Resistance – Quick Reference</w:t>
      </w:r>
    </w:p>
    <w:p>
      <w:pPr>
        <w:pStyle w:val="Compact"/>
        <w:numPr>
          <w:ilvl w:val="0"/>
          <w:numId w:val="1010"/>
        </w:numPr>
      </w:pPr>
      <w:r>
        <w:t xml:space="preserve">Complements</w:t>
      </w:r>
      <w:r>
        <w:t xml:space="preserve"> </w:t>
      </w:r>
      <w:r>
        <w:rPr>
          <w:b/>
          <w:bCs/>
        </w:rPr>
        <w:t xml:space="preserve">Material Marketing Terms vs Real Polymer Differences</w:t>
      </w:r>
    </w:p>
    <w:p>
      <w:pPr>
        <w:pStyle w:val="Compact"/>
        <w:numPr>
          <w:ilvl w:val="0"/>
          <w:numId w:val="1010"/>
        </w:numPr>
      </w:pPr>
      <w:r>
        <w:t xml:space="preserve">Provides grounding context during scenario feasibility decisions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(This canvas is intentionally short and stable. Expand only if a scenario forces the question.)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2026-03-26T23:03:21Z</dcterms:created>
  <dcterms:modified xsi:type="dcterms:W3CDTF">2026-03-26T23:03:21Z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