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otorurl-signature-quote-purpose-usage"/>
    <w:p>
      <w:pPr>
        <w:pStyle w:val="Heading1"/>
      </w:pPr>
      <w:r>
        <w:t xml:space="preserve">MotorURL Signature Quote – Purpose &amp; Usage</w:t>
      </w:r>
    </w:p>
    <w:p>
      <w:pPr>
        <w:pStyle w:val="BlockText"/>
      </w:pPr>
      <w:r>
        <w:rPr>
          <w:b/>
          <w:bCs/>
        </w:rPr>
        <w:t xml:space="preserve">Signature Quote</w:t>
      </w:r>
      <w:r>
        <w:t xml:space="preserve"> </w:t>
      </w:r>
      <w:r>
        <w:rPr>
          <w:i/>
          <w:iCs/>
        </w:rPr>
        <w:t xml:space="preserve">“Opinions are like ears — you’ve got one on either side. Good judgment is what’s in between.”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quote serves as a</w:t>
      </w:r>
      <w:r>
        <w:t xml:space="preserve"> </w:t>
      </w:r>
      <w:r>
        <w:rPr>
          <w:b/>
          <w:bCs/>
        </w:rPr>
        <w:t xml:space="preserve">site-wide philosophy marker</w:t>
      </w:r>
      <w:r>
        <w:t xml:space="preserve"> </w:t>
      </w:r>
      <w:r>
        <w:t xml:space="preserve">for MotorURL.com. It sets expectations for how advice on the site should be read and used:</w:t>
      </w:r>
    </w:p>
    <w:p>
      <w:pPr>
        <w:pStyle w:val="Compact"/>
        <w:numPr>
          <w:ilvl w:val="0"/>
          <w:numId w:val="1001"/>
        </w:numPr>
      </w:pPr>
      <w:r>
        <w:t xml:space="preserve">Advice is</w:t>
      </w:r>
      <w:r>
        <w:t xml:space="preserve"> </w:t>
      </w:r>
      <w:r>
        <w:rPr>
          <w:b/>
          <w:bCs/>
        </w:rPr>
        <w:t xml:space="preserve">experience-based</w:t>
      </w:r>
      <w:r>
        <w:t xml:space="preserve">, not absolute</w:t>
      </w:r>
    </w:p>
    <w:p>
      <w:pPr>
        <w:pStyle w:val="Compact"/>
        <w:numPr>
          <w:ilvl w:val="0"/>
          <w:numId w:val="1001"/>
        </w:numPr>
      </w:pPr>
      <w:r>
        <w:t xml:space="preserve">Readers are expected to apply</w:t>
      </w:r>
      <w:r>
        <w:t xml:space="preserve"> </w:t>
      </w:r>
      <w:r>
        <w:rPr>
          <w:b/>
          <w:bCs/>
        </w:rPr>
        <w:t xml:space="preserve">their own judgment</w:t>
      </w:r>
    </w:p>
    <w:p>
      <w:pPr>
        <w:pStyle w:val="Compact"/>
        <w:numPr>
          <w:ilvl w:val="0"/>
          <w:numId w:val="1001"/>
        </w:numPr>
      </w:pPr>
      <w:r>
        <w:t xml:space="preserve">There are tradeoffs, edge cases, and exceptions</w:t>
      </w:r>
    </w:p>
    <w:p>
      <w:pPr>
        <w:pStyle w:val="Compact"/>
        <w:numPr>
          <w:ilvl w:val="0"/>
          <w:numId w:val="1001"/>
        </w:numPr>
      </w:pPr>
      <w:r>
        <w:t xml:space="preserve">The site values</w:t>
      </w:r>
      <w:r>
        <w:t xml:space="preserve"> </w:t>
      </w:r>
      <w:r>
        <w:rPr>
          <w:b/>
          <w:bCs/>
        </w:rPr>
        <w:t xml:space="preserve">thinking over dogma</w:t>
      </w:r>
    </w:p>
    <w:p>
      <w:pPr>
        <w:pStyle w:val="FirstParagraph"/>
      </w:pPr>
      <w:r>
        <w:t xml:space="preserve">The line is intentionally:</w:t>
      </w:r>
      <w:r>
        <w:t xml:space="preserve"> </w:t>
      </w:r>
      <w:r>
        <w:t xml:space="preserve">- Lightly humorous (disarms defensiveness)</w:t>
      </w:r>
      <w:r>
        <w:t xml:space="preserve"> </w:t>
      </w:r>
      <w:r>
        <w:t xml:space="preserve">- Thought-provoking (lingers after reading)</w:t>
      </w:r>
      <w:r>
        <w:t xml:space="preserve"> </w:t>
      </w:r>
      <w:r>
        <w:t xml:space="preserve">- Non-insulting (invites reflection, not confrontation)</w:t>
      </w:r>
    </w:p>
    <w:p>
      <w:r>
        <w:pict>
          <v:rect style="width:0;height:1.5pt" o:hralign="center" o:hrstd="t" o:hr="t"/>
        </w:pict>
      </w:r>
    </w:p>
    <w:bookmarkEnd w:id="20"/>
    <w:bookmarkStart w:id="21" w:name="X754fe49b128fd09d960621012831709622a44b6"/>
    <w:p>
      <w:pPr>
        <w:pStyle w:val="Heading2"/>
      </w:pPr>
      <w:r>
        <w:t xml:space="preserve">What the Quote Communicates (Without Saying It)</w:t>
      </w:r>
    </w:p>
    <w:p>
      <w:pPr>
        <w:pStyle w:val="Compact"/>
        <w:numPr>
          <w:ilvl w:val="0"/>
          <w:numId w:val="1002"/>
        </w:numPr>
      </w:pPr>
      <w:r>
        <w:t xml:space="preserve">“This is an opinion, not a commandment.”</w:t>
      </w:r>
    </w:p>
    <w:p>
      <w:pPr>
        <w:pStyle w:val="Compact"/>
        <w:numPr>
          <w:ilvl w:val="0"/>
          <w:numId w:val="1002"/>
        </w:numPr>
      </w:pPr>
      <w:r>
        <w:t xml:space="preserve">“Facts matter, but context matters more.”</w:t>
      </w:r>
    </w:p>
    <w:p>
      <w:pPr>
        <w:pStyle w:val="Compact"/>
        <w:numPr>
          <w:ilvl w:val="0"/>
          <w:numId w:val="1002"/>
        </w:numPr>
      </w:pPr>
      <w:r>
        <w:t xml:space="preserve">“If you blindly follow advice, that’s on you.”</w:t>
      </w:r>
    </w:p>
    <w:p>
      <w:pPr>
        <w:pStyle w:val="Compact"/>
        <w:numPr>
          <w:ilvl w:val="0"/>
          <w:numId w:val="1002"/>
        </w:numPr>
      </w:pPr>
      <w:r>
        <w:t xml:space="preserve">“Good outcomes come from judgment, not rules alone.”</w:t>
      </w:r>
    </w:p>
    <w:p>
      <w:pPr>
        <w:pStyle w:val="FirstParagraph"/>
      </w:pPr>
      <w:r>
        <w:t xml:space="preserve">This functions as</w:t>
      </w:r>
      <w:r>
        <w:t xml:space="preserve"> </w:t>
      </w:r>
      <w:r>
        <w:rPr>
          <w:b/>
          <w:bCs/>
        </w:rPr>
        <w:t xml:space="preserve">soft liability language</w:t>
      </w:r>
      <w:r>
        <w:t xml:space="preserve"> </w:t>
      </w:r>
      <w:r>
        <w:t xml:space="preserve">without sounding legal or defensive.</w:t>
      </w:r>
    </w:p>
    <w:p>
      <w:r>
        <w:pict>
          <v:rect style="width:0;height:1.5pt" o:hralign="center" o:hrstd="t" o:hr="t"/>
        </w:pict>
      </w:r>
    </w:p>
    <w:bookmarkEnd w:id="21"/>
    <w:bookmarkStart w:id="24" w:name="recommended-usage-locations"/>
    <w:p>
      <w:pPr>
        <w:pStyle w:val="Heading2"/>
      </w:pPr>
      <w:r>
        <w:t xml:space="preserve">Recommended Usage Locations</w:t>
      </w:r>
    </w:p>
    <w:bookmarkStart w:id="22" w:name="primary-high-visibility"/>
    <w:p>
      <w:pPr>
        <w:pStyle w:val="Heading3"/>
      </w:pPr>
      <w:r>
        <w:t xml:space="preserve">Primary / High-Visibility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Site header or sub-header</w:t>
      </w:r>
      <w:r>
        <w:t xml:space="preserve"> </w:t>
      </w:r>
      <w:r>
        <w:t xml:space="preserve">(small, understated)</w:t>
      </w:r>
    </w:p>
    <w:p>
      <w:pPr>
        <w:pStyle w:val="Compact"/>
        <w:numPr>
          <w:ilvl w:val="0"/>
          <w:numId w:val="1003"/>
        </w:numPr>
      </w:pPr>
      <w:r>
        <w:t xml:space="preserve">Top of advice-heavy pages (below the title)</w:t>
      </w:r>
    </w:p>
    <w:p>
      <w:pPr>
        <w:pStyle w:val="Compact"/>
        <w:numPr>
          <w:ilvl w:val="0"/>
          <w:numId w:val="1003"/>
        </w:numPr>
      </w:pPr>
      <w:r>
        <w:t xml:space="preserve">Directly under a</w:t>
      </w:r>
      <w:r>
        <w:t xml:space="preserve"> </w:t>
      </w:r>
      <w:r>
        <w:rPr>
          <w:b/>
          <w:bCs/>
        </w:rPr>
        <w:t xml:space="preserve">Quick Answer (YES / NO)</w:t>
      </w:r>
      <w:r>
        <w:t xml:space="preserve"> </w:t>
      </w:r>
      <w:r>
        <w:t xml:space="preserve">block</w:t>
      </w:r>
    </w:p>
    <w:bookmarkEnd w:id="22"/>
    <w:bookmarkStart w:id="23" w:name="secondary-supporting"/>
    <w:p>
      <w:pPr>
        <w:pStyle w:val="Heading3"/>
      </w:pPr>
      <w:r>
        <w:t xml:space="preserve">Secondary / Supporting</w:t>
      </w:r>
    </w:p>
    <w:p>
      <w:pPr>
        <w:pStyle w:val="Compact"/>
        <w:numPr>
          <w:ilvl w:val="0"/>
          <w:numId w:val="1004"/>
        </w:numPr>
      </w:pPr>
      <w:r>
        <w:t xml:space="preserve">Page footers on technical guides</w:t>
      </w:r>
    </w:p>
    <w:p>
      <w:pPr>
        <w:pStyle w:val="Compact"/>
        <w:numPr>
          <w:ilvl w:val="0"/>
          <w:numId w:val="1004"/>
        </w:numPr>
      </w:pPr>
      <w:r>
        <w:t xml:space="preserve">TOC intro sections</w:t>
      </w:r>
    </w:p>
    <w:p>
      <w:pPr>
        <w:pStyle w:val="Compact"/>
        <w:numPr>
          <w:ilvl w:val="0"/>
          <w:numId w:val="1004"/>
        </w:numPr>
      </w:pPr>
      <w:r>
        <w:t xml:space="preserve">Section dividers on long-form guides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ormatting-suggestions"/>
    <w:p>
      <w:pPr>
        <w:pStyle w:val="Heading2"/>
      </w:pPr>
      <w:r>
        <w:t xml:space="preserve">Formatting Suggestions</w:t>
      </w:r>
    </w:p>
    <w:p>
      <w:pPr>
        <w:pStyle w:val="Compact"/>
        <w:numPr>
          <w:ilvl w:val="0"/>
          <w:numId w:val="1005"/>
        </w:numPr>
      </w:pPr>
      <w:r>
        <w:t xml:space="preserve">Italicized text for subtle emphasis</w:t>
      </w:r>
    </w:p>
    <w:p>
      <w:pPr>
        <w:pStyle w:val="Compact"/>
        <w:numPr>
          <w:ilvl w:val="0"/>
          <w:numId w:val="1005"/>
        </w:numPr>
      </w:pPr>
      <w:r>
        <w:t xml:space="preserve">Smaller font than body text (wisdom, not headline)</w:t>
      </w:r>
    </w:p>
    <w:p>
      <w:pPr>
        <w:pStyle w:val="Compact"/>
        <w:numPr>
          <w:ilvl w:val="0"/>
          <w:numId w:val="1005"/>
        </w:numPr>
      </w:pPr>
      <w:r>
        <w:t xml:space="preserve">Optional em-dash line break for readability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i/>
          <w:iCs/>
        </w:rPr>
        <w:t xml:space="preserve">Opinions are like ears — you’ve got one on either side. Good judgment is what’s in between.</w:t>
      </w:r>
    </w:p>
    <w:p>
      <w:r>
        <w:pict>
          <v:rect style="width:0;height:1.5pt" o:hralign="center" o:hrstd="t" o:hr="t"/>
        </w:pict>
      </w:r>
    </w:p>
    <w:bookmarkEnd w:id="25"/>
    <w:bookmarkStart w:id="26" w:name="X500e7d1166a6b737edc85530a6439fd6dc58371"/>
    <w:p>
      <w:pPr>
        <w:pStyle w:val="Heading2"/>
      </w:pPr>
      <w:r>
        <w:t xml:space="preserve">Relationship to Other MotorURL Conventions</w:t>
      </w:r>
    </w:p>
    <w:p>
      <w:pPr>
        <w:pStyle w:val="FirstParagraph"/>
      </w:pPr>
      <w:r>
        <w:t xml:space="preserve">This quote pairs naturally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Quick Answer</w:t>
      </w:r>
      <w:r>
        <w:t xml:space="preserve"> </w:t>
      </w:r>
      <w:r>
        <w:t xml:space="preserve">blocks (YES / NO / If / Unless)</w:t>
      </w:r>
      <w:r>
        <w:t xml:space="preserve"> </w:t>
      </w:r>
      <w:r>
        <w:t xml:space="preserve">- Tradeoff discussions</w:t>
      </w:r>
      <w:r>
        <w:t xml:space="preserve"> </w:t>
      </w:r>
      <w:r>
        <w:t xml:space="preserve">-</w:t>
      </w:r>
      <w:r>
        <w:t xml:space="preserve"> </w:t>
      </w:r>
      <w:r>
        <w:t xml:space="preserve">“When this advice doesn’t apply”</w:t>
      </w:r>
      <w:r>
        <w:t xml:space="preserve"> </w:t>
      </w:r>
      <w:r>
        <w:t xml:space="preserve">sections</w:t>
      </w:r>
    </w:p>
    <w:p>
      <w:pPr>
        <w:pStyle w:val="BodyText"/>
      </w:pPr>
      <w:r>
        <w:t xml:space="preserve">It reinforces a consistent tone across the site:</w:t>
      </w:r>
      <w:r>
        <w:t xml:space="preserve"> </w:t>
      </w:r>
      <w:r>
        <w:rPr>
          <w:b/>
          <w:bCs/>
        </w:rPr>
        <w:t xml:space="preserve">experienced, honest, and practical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notes-for-future-you"/>
    <w:p>
      <w:pPr>
        <w:pStyle w:val="Heading2"/>
      </w:pPr>
      <w:r>
        <w:t xml:space="preserve">Notes for Future You</w:t>
      </w:r>
    </w:p>
    <w:p>
      <w:pPr>
        <w:pStyle w:val="Compact"/>
        <w:numPr>
          <w:ilvl w:val="0"/>
          <w:numId w:val="1006"/>
        </w:numPr>
      </w:pPr>
      <w:r>
        <w:t xml:space="preserve">This quote is original and reusable without attribution</w:t>
      </w:r>
    </w:p>
    <w:p>
      <w:pPr>
        <w:pStyle w:val="Compact"/>
        <w:numPr>
          <w:ilvl w:val="0"/>
          <w:numId w:val="1006"/>
        </w:numPr>
      </w:pPr>
      <w:r>
        <w:t xml:space="preserve">It should remain consistent across the site (avoid paraphrasing)</w:t>
      </w:r>
    </w:p>
    <w:p>
      <w:pPr>
        <w:pStyle w:val="Compact"/>
        <w:numPr>
          <w:ilvl w:val="0"/>
          <w:numId w:val="1006"/>
        </w:numPr>
      </w:pPr>
      <w:r>
        <w:t xml:space="preserve">Treat it as a</w:t>
      </w:r>
      <w:r>
        <w:t xml:space="preserve"> </w:t>
      </w:r>
      <w:r>
        <w:rPr>
          <w:b/>
          <w:bCs/>
        </w:rPr>
        <w:t xml:space="preserve">brand marker</w:t>
      </w:r>
      <w:r>
        <w:t xml:space="preserve">, not filler text</w:t>
      </w:r>
    </w:p>
    <w:p>
      <w:r>
        <w:pict>
          <v:rect style="width:0;height:1.5pt" o:hralign="center" o:hrstd="t" o:hr="t"/>
        </w:pict>
      </w:r>
    </w:p>
    <w:bookmarkEnd w:id="27"/>
    <w:bookmarkStart w:id="28" w:name="possible-future-extensions"/>
    <w:p>
      <w:pPr>
        <w:pStyle w:val="Heading2"/>
      </w:pPr>
      <w:r>
        <w:t xml:space="preserve">Possible Future Extensions</w:t>
      </w:r>
    </w:p>
    <w:p>
      <w:pPr>
        <w:pStyle w:val="Compact"/>
        <w:numPr>
          <w:ilvl w:val="0"/>
          <w:numId w:val="1007"/>
        </w:numPr>
      </w:pPr>
      <w:r>
        <w:t xml:space="preserve">A small</w:t>
      </w:r>
      <w:r>
        <w:t xml:space="preserve"> </w:t>
      </w:r>
      <w:r>
        <w:t xml:space="preserve">“MotorURL Wisdom”</w:t>
      </w:r>
      <w:r>
        <w:t xml:space="preserve"> </w:t>
      </w:r>
      <w:r>
        <w:t xml:space="preserve">section collecting similar lines</w:t>
      </w:r>
    </w:p>
    <w:p>
      <w:pPr>
        <w:pStyle w:val="Compact"/>
        <w:numPr>
          <w:ilvl w:val="0"/>
          <w:numId w:val="1007"/>
        </w:numPr>
      </w:pPr>
      <w:r>
        <w:t xml:space="preserve">Rotating display on select pages</w:t>
      </w:r>
    </w:p>
    <w:p>
      <w:pPr>
        <w:pStyle w:val="Compact"/>
        <w:numPr>
          <w:ilvl w:val="0"/>
          <w:numId w:val="1007"/>
        </w:numPr>
      </w:pPr>
      <w:r>
        <w:t xml:space="preserve">Subtle styling tied to the MotorURL visual identity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2026-03-26T22:57:25Z</dcterms:created>
  <dcterms:modified xsi:type="dcterms:W3CDTF">2026-03-26T22:57:25Z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