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xml:space="preserve">, notamment en termes </w:t>
      </w:r>
      <w:proofErr w:type="spellStart"/>
      <w:r w:rsidR="00216482">
        <w:t>deu</w:t>
      </w:r>
      <w:proofErr w:type="spellEnd"/>
      <w:r w:rsidR="00216482">
        <w:t xml:space="preserv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7418AB" w:rsidP="00083B68">
      <w:pPr>
        <w:pStyle w:val="ListParagraph"/>
        <w:numPr>
          <w:ilvl w:val="1"/>
          <w:numId w:val="3"/>
        </w:numPr>
        <w:spacing w:line="240" w:lineRule="auto"/>
      </w:pPr>
    </w:p>
    <w:p w:rsidR="007418AB" w:rsidRPr="004454F1" w:rsidRDefault="007418AB" w:rsidP="00083B68">
      <w:pPr>
        <w:pStyle w:val="ListParagraph"/>
        <w:numPr>
          <w:ilvl w:val="1"/>
          <w:numId w:val="3"/>
        </w:numPr>
        <w:spacing w:line="240" w:lineRule="auto"/>
      </w:pPr>
    </w:p>
    <w:p w:rsidR="00DA509C" w:rsidRDefault="004454F1" w:rsidP="007418AB">
      <w:pPr>
        <w:pStyle w:val="ListParagraph"/>
        <w:spacing w:line="240" w:lineRule="auto"/>
        <w:ind w:left="792"/>
      </w:pPr>
      <w:r>
        <w:t>Après câblage et test du montage, on obtient un déphasage suffisamment proche de -90°, il n’est pas nécessaire d’ajuster R. Le gain unitaire du montage déphaseur est respecté.</w:t>
      </w:r>
    </w:p>
    <w:p w:rsidR="00DA509C" w:rsidRDefault="00DA509C" w:rsidP="007418AB">
      <w:pPr>
        <w:pStyle w:val="ListParagraph"/>
        <w:spacing w:line="240" w:lineRule="auto"/>
        <w:ind w:left="792"/>
      </w:pPr>
    </w:p>
    <w:p w:rsidR="007418AB" w:rsidRDefault="007418AB" w:rsidP="007418AB">
      <w:pPr>
        <w:pStyle w:val="ListParagraph"/>
        <w:numPr>
          <w:ilvl w:val="1"/>
          <w:numId w:val="3"/>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DA509C">
      <w:pPr>
        <w:pStyle w:val="ListParagraph"/>
        <w:numPr>
          <w:ilvl w:val="1"/>
          <w:numId w:val="3"/>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Pr="00181BDF" w:rsidRDefault="00181BDF" w:rsidP="00DA509C">
      <w:pPr>
        <w:spacing w:line="240" w:lineRule="auto"/>
        <w:ind w:left="360"/>
        <w:rPr>
          <w:b/>
        </w:rPr>
      </w:pPr>
      <w:r w:rsidRPr="00181BDF">
        <w:rPr>
          <w:b/>
        </w:rPr>
        <w:t>Le multiplieur AD633JN</w:t>
      </w: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w:r w:rsidR="00324B91">
        <w:t>90° :</w:t>
      </w:r>
      <w:r w:rsidR="004D02F4">
        <w:rPr>
          <w:noProof/>
        </w:rPr>
        <w:drawing>
          <wp:inline distT="0" distB="0" distL="0" distR="0" wp14:anchorId="78F85612" wp14:editId="36E14136">
            <wp:extent cx="5760720" cy="2557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778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760720" cy="2554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54605"/>
                    </a:xfrm>
                    <a:prstGeom prst="rect">
                      <a:avLst/>
                    </a:prstGeom>
                  </pic:spPr>
                </pic:pic>
              </a:graphicData>
            </a:graphic>
          </wp:inline>
        </w:drawing>
      </w:r>
    </w:p>
    <w:p w:rsidR="00C5407A" w:rsidRDefault="00C5407A" w:rsidP="00C5407A">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324B91" w:rsidP="004D02F4">
      <w:pPr>
        <w:pStyle w:val="ListParagraph"/>
        <w:spacing w:line="240" w:lineRule="auto"/>
        <w:ind w:left="792"/>
      </w:pPr>
    </w:p>
    <w:p w:rsidR="00324B91" w:rsidRDefault="00C5407A" w:rsidP="004D02F4">
      <w:pPr>
        <w:pStyle w:val="ListParagraph"/>
        <w:spacing w:line="240" w:lineRule="auto"/>
        <w:ind w:left="792"/>
      </w:pPr>
      <w:r>
        <w:t>-90° :</w:t>
      </w:r>
    </w:p>
    <w:p w:rsidR="00C5407A" w:rsidRDefault="00C5407A" w:rsidP="004D02F4">
      <w:pPr>
        <w:pStyle w:val="ListParagraph"/>
        <w:spacing w:line="240" w:lineRule="auto"/>
        <w:ind w:left="792"/>
      </w:pPr>
      <w:r>
        <w:rPr>
          <w:noProof/>
        </w:rPr>
        <w:drawing>
          <wp:inline distT="0" distB="0" distL="0" distR="0" wp14:anchorId="5B935540" wp14:editId="7DE3CFB5">
            <wp:extent cx="5760720" cy="2543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43810"/>
                    </a:xfrm>
                    <a:prstGeom prst="rect">
                      <a:avLst/>
                    </a:prstGeom>
                  </pic:spPr>
                </pic:pic>
              </a:graphicData>
            </a:graphic>
          </wp:inline>
        </w:drawing>
      </w:r>
    </w:p>
    <w:p w:rsidR="00C5407A" w:rsidRPr="00044CA4" w:rsidRDefault="00C5407A" w:rsidP="004D02F4">
      <w:pPr>
        <w:pStyle w:val="ListParagraph"/>
        <w:spacing w:line="240" w:lineRule="auto"/>
        <w:ind w:left="792"/>
      </w:pPr>
      <w:r>
        <w:lastRenderedPageBreak/>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m:t>
        </m:r>
        <m:r>
          <w:rPr>
            <w:rFonts w:ascii="Cambria Math" w:hAnsi="Cambria Math"/>
          </w:rPr>
          <m:t>-</m:t>
        </m:r>
        <m:r>
          <w:rPr>
            <w:rFonts w:ascii="Cambria Math" w:hAnsi="Cambria Math"/>
          </w:rPr>
          <m:t>1.2V</m:t>
        </m:r>
      </m:oMath>
      <w:bookmarkStart w:id="0" w:name="_GoBack"/>
      <w:bookmarkEnd w:id="0"/>
    </w:p>
    <w:sectPr w:rsidR="00C5407A"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44CA4"/>
    <w:rsid w:val="00083B68"/>
    <w:rsid w:val="000D3005"/>
    <w:rsid w:val="00181BDF"/>
    <w:rsid w:val="00216482"/>
    <w:rsid w:val="002A5267"/>
    <w:rsid w:val="002A6313"/>
    <w:rsid w:val="00324B91"/>
    <w:rsid w:val="00415CCF"/>
    <w:rsid w:val="0042349D"/>
    <w:rsid w:val="004454F1"/>
    <w:rsid w:val="00464334"/>
    <w:rsid w:val="00485A09"/>
    <w:rsid w:val="004D02F4"/>
    <w:rsid w:val="0053092A"/>
    <w:rsid w:val="005E4201"/>
    <w:rsid w:val="006175A3"/>
    <w:rsid w:val="006F3F66"/>
    <w:rsid w:val="007418AB"/>
    <w:rsid w:val="00741D9E"/>
    <w:rsid w:val="008A6CDA"/>
    <w:rsid w:val="009E4F34"/>
    <w:rsid w:val="009F5EFD"/>
    <w:rsid w:val="00A60DEE"/>
    <w:rsid w:val="00BC5530"/>
    <w:rsid w:val="00C5407A"/>
    <w:rsid w:val="00DA509C"/>
    <w:rsid w:val="00DB355C"/>
    <w:rsid w:val="00EA15E9"/>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992"/>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375</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2018-01-05T08:53:00Z</dcterms:created>
  <dcterms:modified xsi:type="dcterms:W3CDTF">2018-01-05T10:15:00Z</dcterms:modified>
</cp:coreProperties>
</file>