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a2a2a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a2a2a"/>
          <w:sz w:val="62"/>
          <w:szCs w:val="62"/>
          <w:rtl w:val="0"/>
        </w:rPr>
        <w:t xml:space="preserve">WILLIAM PITTS</w:t>
      </w: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left"/>
        <w:tblLayout w:type="fixed"/>
        <w:tblLook w:val="0400"/>
      </w:tblPr>
      <w:tblGrid>
        <w:gridCol w:w="6880"/>
        <w:gridCol w:w="3460"/>
        <w:tblGridChange w:id="0">
          <w:tblGrid>
            <w:gridCol w:w="6880"/>
            <w:gridCol w:w="34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Motivated and detail-oriented college student pursuing a degree in Computer Science, with a strong foundation in computer programming and software development. Eager to apply my skills in a 2024 internship, I am committed to contributing to innovative projects and collaborative team environments. Dedicated to continuous learning and professional growth, I aim to contribute meaningfully to an organization that values technological advancement and fosters opportunities for its interns.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1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Discrete Mathematics, Calculus I, Calculus II, Calculus III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Web Dev I Basic Web, WebDev II Client Side programming { Html, Css, Javascript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Intro to computer applications { Excel, Word, Access, and Powerpoint }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Operating systems I { Virtual machines, Networking }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CS_348 Computer Ethics, CS_342 Introduction to Human Computer Interactions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C++ Obj Oriented Program I/II { Used fast, secure, and reliable c++ programming language for designing and implementing applications and websites; management of abstract data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Java Obj Oriented Program I/II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1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Concession’s Stand Worker</w:t>
            </w:r>
          </w:p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rtl w:val="0"/>
              </w:rPr>
              <w:t xml:space="preserve">United Center, Levy | Chicago, IL | September  2022 -  Current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spacing w:before="75" w:lineRule="auto"/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Thrived in a fast-paced diverse sports center environment, serving over 200 customers per intermission.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Demonstrated strong customer service skills while directing customers and enforcing venue rules, including alcohol cutoff.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Extracurricular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75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Software Engineering student Lead at Northeastern College’s Google Developers Club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Volunteered with Miss Asian Chicago 501(c)3 Nonprofit Organization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ncluding community involvement, setting up venues.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2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b2e4ec" w:space="0" w:sz="84" w:val="singl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tbl>
            <w:tblPr>
              <w:tblStyle w:val="Table2"/>
              <w:tblW w:w="3260.0" w:type="dxa"/>
              <w:jc w:val="left"/>
              <w:tblLayout w:type="fixed"/>
              <w:tblLook w:val="0400"/>
            </w:tblPr>
            <w:tblGrid>
              <w:gridCol w:w="520"/>
              <w:gridCol w:w="2740"/>
              <w:tblGridChange w:id="0">
                <w:tblGrid>
                  <w:gridCol w:w="520"/>
                  <w:gridCol w:w="2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20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12754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20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(256) 690-8992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pittswilliam715@gmail.com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  <w:drawing>
                      <wp:inline distB="0" distT="0" distL="114300" distR="114300">
                        <wp:extent cx="89410" cy="12754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Chicago, Illinois 60659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Associate in Engineering Science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Harold Washington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3.0 (2.98)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Bachelors in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C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D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Expected graduation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, Fall 2024.</w:t>
            </w:r>
          </w:p>
          <w:p w:rsidR="00000000" w:rsidDel="00000000" w:rsidP="00000000" w:rsidRDefault="00000000" w:rsidRPr="00000000" w14:paraId="0000002E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3.46</w:t>
            </w:r>
          </w:p>
          <w:p w:rsidR="00000000" w:rsidDel="00000000" w:rsidP="00000000" w:rsidRDefault="00000000" w:rsidRPr="00000000" w14:paraId="0000002F">
            <w:pPr>
              <w:ind w:left="20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Solved leetcode.com coding interview questions. (10+)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Attention to detail.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Consistent, excited to learn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communication and presentation skills and abilities.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Passion about game development and monetization strategies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problem-solving, organizational, and analytical skills.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Extensive knowledge of League of Legends. With deep understanding of the champions, gameplay, skins catalog, events, loot, store, event pass, and missions.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Python, Java (4+ years)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Machine Learning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C++ (5+ years)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JavaScript/HTML (10+ years)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Databases, data structures and algorithms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00" w:top="400" w:left="1300" w:right="6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