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after="115" w:line="240" w:lineRule="auto"/>
        <w:ind w:right="0" w:firstLine="0" w:left="0"/>
        <w:jc w:val="center"/>
        <w:rPr>
          <w:rFonts w:ascii="Times New Roman" w:hAnsi="Times New Roman" w:cs="Times New Roman"/>
        </w:rPr>
      </w:pPr>
      <w:r>
        <w:rPr>
          <w:rFonts w:ascii="Times New Roman" w:hAnsi="Times New Roman" w:eastAsia="Times New Roman" w:cs="Times New Roman"/>
          <w:b/>
          <w:color w:val="1f1f1f"/>
          <w:sz w:val="64"/>
        </w:rPr>
        <w:t xml:space="preserve">IMDb Movie Analytics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245" w:line="240" w:lineRule="auto"/>
        <w:ind w:right="0" w:firstLine="0" w:left="0"/>
        <w:jc w:val="center"/>
        <w:rPr>
          <w:rFonts w:ascii="Times New Roman" w:hAnsi="Times New Roman" w:cs="Times New Roman"/>
        </w:rPr>
      </w:pPr>
      <w:r>
        <w:rPr>
          <w:rFonts w:ascii="Times New Roman" w:hAnsi="Times New Roman" w:eastAsia="Times New Roman" w:cs="Times New Roman"/>
          <w:color w:val="555555"/>
          <w:sz w:val="36"/>
        </w:rPr>
        <w:t xml:space="preserve">Revenue, ROI, and Industry Trends</w:t>
      </w:r>
      <w:r>
        <w:rPr>
          <w:rFonts w:ascii="Times New Roman" w:hAnsi="Times New Roman" w:eastAsia="Times New Roman" w:cs="Times New Roman"/>
        </w:rPr>
      </w:r>
    </w:p>
    <w:p>
      <w:pPr>
        <w:pBdr>
          <w:top w:val="none" w:color="000000" w:sz="4" w:space="0"/>
          <w:left w:val="none" w:color="000000" w:sz="4" w:space="0"/>
          <w:bottom w:val="single" w:color="f5c518" w:sz="8" w:space="0"/>
          <w:right w:val="none" w:color="000000" w:sz="4" w:space="0"/>
        </w:pBdr>
        <w:spacing w:after="475" w:line="240" w:lineRule="auto"/>
        <w:ind w:right="0" w:firstLine="0" w:left="0"/>
        <w:jc w:val="center"/>
        <w:rPr>
          <w:rFonts w:ascii="Times New Roman" w:hAnsi="Times New Roman" w:cs="Times New Roman"/>
        </w:rPr>
      </w:pPr>
      <w:r>
        <w:rPr>
          <w:rFonts w:ascii="Times New Roman" w:hAnsi="Times New Roman" w:eastAsia="Times New Roman" w:cs="Times New Roman"/>
        </w:rPr>
        <w:br/>
        <w:b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158"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line="240" w:lineRule="auto"/>
        <w:ind w:right="0" w:firstLine="0" w:left="0"/>
        <w:jc w:val="center"/>
        <w:rPr>
          <w:rFonts w:ascii="Times New Roman" w:hAnsi="Times New Roman" w:cs="Times New Roman"/>
        </w:rPr>
      </w:pPr>
      <w:r>
        <w:rPr>
          <w:rFonts w:ascii="Times New Roman" w:hAnsi="Times New Roman" w:eastAsia="Times New Roman" w:cs="Times New Roman"/>
          <w:color w:val="666666"/>
          <w:sz w:val="28"/>
        </w:rPr>
        <w:t xml:space="preserve">Data Analysis Report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line="240" w:lineRule="auto"/>
        <w:ind w:right="0" w:firstLine="0" w:left="0"/>
        <w:jc w:val="center"/>
        <w:rPr>
          <w:rFonts w:ascii="Times New Roman" w:hAnsi="Times New Roman" w:cs="Times New Roman"/>
        </w:rPr>
      </w:pPr>
      <w:r>
        <w:rPr>
          <w:rFonts w:ascii="Times New Roman" w:hAnsi="Times New Roman" w:eastAsia="Times New Roman" w:cs="Times New Roman"/>
          <w:color w:val="888888"/>
          <w:sz w:val="22"/>
        </w:rPr>
        <w:t xml:space="preserve">Tools: Python (Pandas, Matplotlib, Seaborn) | Tableau</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158"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line="240" w:lineRule="auto"/>
        <w:ind w:right="0" w:firstLine="0" w:left="0"/>
        <w:jc w:val="center"/>
        <w:rPr>
          <w:rFonts w:ascii="Times New Roman" w:hAnsi="Times New Roman" w:cs="Times New Roman"/>
        </w:rPr>
      </w:pPr>
      <w:r>
        <w:rPr>
          <w:rFonts w:ascii="Times New Roman" w:hAnsi="Times New Roman" w:eastAsia="Times New Roman" w:cs="Times New Roman"/>
          <w:color w:val="999999"/>
          <w:sz w:val="22"/>
        </w:rPr>
        <w:t xml:space="preserve">Dataset: TMDB Movie Dataset — 3,854 Films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475"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8"/>
        <w:numPr>
          <w:ilvl w:val="0"/>
          <w:numId w:val="0"/>
        </w:numPr>
        <w:pBdr>
          <w:top w:val="none" w:color="000000" w:sz="4" w:space="0"/>
          <w:left w:val="none" w:color="000000" w:sz="4" w:space="0"/>
          <w:bottom w:val="single" w:color="f5c518" w:sz="6"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1f1f1f"/>
          <w:sz w:val="32"/>
        </w:rPr>
        <w:t xml:space="preserve">1. Data Overview</w:t>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1.1 Data Definition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This dataset is derived from the TMDB (The Movie Database) and contains information on approximately 3,854 films spanning multiple decades. It includes 14 variables covering movie identification, financial performance, audience reception, and film metadata</w:t>
      </w:r>
      <w:r>
        <w:rPr>
          <w:rFonts w:ascii="Times New Roman" w:hAnsi="Times New Roman" w:eastAsia="Times New Roman" w:cs="Times New Roman"/>
          <w:color w:val="1f1f1f"/>
          <w:sz w:val="22"/>
        </w:rPr>
        <w:t xml:space="preserv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1.2 Variable Description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b/>
          <w:color w:val="1f1f1f"/>
          <w:sz w:val="22"/>
        </w:rPr>
        <w:t xml:space="preserve">Identifiers:</w:t>
      </w:r>
      <w:r>
        <w:rPr>
          <w:rFonts w:ascii="Times New Roman" w:hAnsi="Times New Roman" w:eastAsia="Times New Roman" w:cs="Times New Roman"/>
        </w:rPr>
      </w:r>
    </w:p>
    <w:p>
      <w:pPr>
        <w:pStyle w:val="664"/>
        <w:numPr>
          <w:ilvl w:val="0"/>
          <w:numId w:val="26"/>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id — Unique TMDB movie identifier</w:t>
      </w:r>
      <w:r>
        <w:rPr>
          <w:rFonts w:ascii="Times New Roman" w:hAnsi="Times New Roman" w:eastAsia="Times New Roman" w:cs="Times New Roman"/>
        </w:rPr>
      </w:r>
    </w:p>
    <w:p>
      <w:pPr>
        <w:pStyle w:val="664"/>
        <w:numPr>
          <w:ilvl w:val="0"/>
          <w:numId w:val="26"/>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imdb_id — IMDb identifier used for cross-referencing</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b/>
          <w:color w:val="1f1f1f"/>
          <w:sz w:val="22"/>
        </w:rPr>
        <w:t xml:space="preserve">Film Metadata:</w:t>
      </w:r>
      <w:r>
        <w:rPr>
          <w:rFonts w:ascii="Times New Roman" w:hAnsi="Times New Roman" w:eastAsia="Times New Roman" w:cs="Times New Roman"/>
        </w:rPr>
      </w:r>
    </w:p>
    <w:p>
      <w:pPr>
        <w:pStyle w:val="664"/>
        <w:numPr>
          <w:ilvl w:val="0"/>
          <w:numId w:val="2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original_title — Official movie title</w:t>
      </w:r>
      <w:r>
        <w:rPr>
          <w:rFonts w:ascii="Times New Roman" w:hAnsi="Times New Roman" w:eastAsia="Times New Roman" w:cs="Times New Roman"/>
        </w:rPr>
      </w:r>
    </w:p>
    <w:p>
      <w:pPr>
        <w:pStyle w:val="664"/>
        <w:numPr>
          <w:ilvl w:val="0"/>
          <w:numId w:val="2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genres — Movie genre (pipe-separated, requires splitting for multi-genre analysis)</w:t>
      </w:r>
      <w:r>
        <w:rPr>
          <w:rFonts w:ascii="Times New Roman" w:hAnsi="Times New Roman" w:eastAsia="Times New Roman" w:cs="Times New Roman"/>
        </w:rPr>
      </w:r>
    </w:p>
    <w:p>
      <w:pPr>
        <w:pStyle w:val="664"/>
        <w:numPr>
          <w:ilvl w:val="0"/>
          <w:numId w:val="2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cast — Top-billed actors (pipe-separated, requires splitting)</w:t>
      </w:r>
      <w:r>
        <w:rPr>
          <w:rFonts w:ascii="Times New Roman" w:hAnsi="Times New Roman" w:eastAsia="Times New Roman" w:cs="Times New Roman"/>
        </w:rPr>
      </w:r>
    </w:p>
    <w:p>
      <w:pPr>
        <w:pStyle w:val="664"/>
        <w:numPr>
          <w:ilvl w:val="0"/>
          <w:numId w:val="2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director — Director(s) of the film</w:t>
      </w:r>
      <w:r>
        <w:rPr>
          <w:rFonts w:ascii="Times New Roman" w:hAnsi="Times New Roman" w:eastAsia="Times New Roman" w:cs="Times New Roman"/>
        </w:rPr>
      </w:r>
    </w:p>
    <w:p>
      <w:pPr>
        <w:pStyle w:val="664"/>
        <w:numPr>
          <w:ilvl w:val="0"/>
          <w:numId w:val="2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runtime — Duration in minutes</w:t>
      </w:r>
      <w:r>
        <w:rPr>
          <w:rFonts w:ascii="Times New Roman" w:hAnsi="Times New Roman" w:eastAsia="Times New Roman" w:cs="Times New Roman"/>
        </w:rPr>
      </w:r>
    </w:p>
    <w:p>
      <w:pPr>
        <w:pStyle w:val="664"/>
        <w:numPr>
          <w:ilvl w:val="0"/>
          <w:numId w:val="2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release_year — Release year used for time-based trend analysis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b/>
          <w:color w:val="1f1f1f"/>
          <w:sz w:val="22"/>
        </w:rPr>
        <w:t xml:space="preserve">Financial Features:</w:t>
      </w:r>
      <w:r>
        <w:rPr>
          <w:rFonts w:ascii="Times New Roman" w:hAnsi="Times New Roman" w:eastAsia="Times New Roman" w:cs="Times New Roman"/>
        </w:rPr>
      </w:r>
    </w:p>
    <w:p>
      <w:pPr>
        <w:pStyle w:val="664"/>
        <w:numPr>
          <w:ilvl w:val="0"/>
          <w:numId w:val="28"/>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budget — Production budget in USD (not inflation-adjusted)</w:t>
      </w:r>
      <w:r>
        <w:rPr>
          <w:rFonts w:ascii="Times New Roman" w:hAnsi="Times New Roman" w:eastAsia="Times New Roman" w:cs="Times New Roman"/>
        </w:rPr>
      </w:r>
    </w:p>
    <w:p>
      <w:pPr>
        <w:pStyle w:val="664"/>
        <w:numPr>
          <w:ilvl w:val="0"/>
          <w:numId w:val="28"/>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revenue — Box office revenue in USD (not inflation-adjusted)</w:t>
      </w:r>
      <w:r>
        <w:rPr>
          <w:rFonts w:ascii="Times New Roman" w:hAnsi="Times New Roman" w:eastAsia="Times New Roman" w:cs="Times New Roman"/>
        </w:rPr>
      </w:r>
    </w:p>
    <w:p>
      <w:pPr>
        <w:pStyle w:val="664"/>
        <w:numPr>
          <w:ilvl w:val="0"/>
          <w:numId w:val="28"/>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budget_adj — Budget adjusted for inflation (2010 USD baseline)</w:t>
      </w:r>
      <w:r>
        <w:rPr>
          <w:rFonts w:ascii="Times New Roman" w:hAnsi="Times New Roman" w:eastAsia="Times New Roman" w:cs="Times New Roman"/>
        </w:rPr>
      </w:r>
    </w:p>
    <w:p>
      <w:pPr>
        <w:pStyle w:val="664"/>
        <w:numPr>
          <w:ilvl w:val="0"/>
          <w:numId w:val="28"/>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revenue_adj — Revenue adjusted for inflation (2010 USD baseline)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aa0000"/>
          <w:sz w:val="24"/>
        </w:rPr>
        <w:t xml:space="preserve">⚠️ </w:t>
      </w:r>
      <w:r>
        <w:rPr>
          <w:rFonts w:ascii="Times New Roman" w:hAnsi="Times New Roman" w:eastAsia="Times New Roman" w:cs="Times New Roman"/>
          <w:i/>
          <w:color w:val="aa0000"/>
          <w:sz w:val="22"/>
        </w:rPr>
        <w:t xml:space="preserve">Note: Values of 0 indicate missing/unreported data, not actual zero.</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b/>
          <w:color w:val="1f1f1f"/>
          <w:sz w:val="22"/>
        </w:rPr>
        <w:t xml:space="preserve">Audience &amp; Popularity Metrics:</w:t>
      </w:r>
      <w:r>
        <w:rPr>
          <w:rFonts w:ascii="Times New Roman" w:hAnsi="Times New Roman" w:eastAsia="Times New Roman" w:cs="Times New Roman"/>
        </w:rPr>
      </w:r>
    </w:p>
    <w:p>
      <w:pPr>
        <w:pStyle w:val="664"/>
        <w:numPr>
          <w:ilvl w:val="0"/>
          <w:numId w:val="2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popularity — Engagement score (not a rating; reflects search and social activity)</w:t>
      </w:r>
      <w:r>
        <w:rPr>
          <w:rFonts w:ascii="Times New Roman" w:hAnsi="Times New Roman" w:eastAsia="Times New Roman" w:cs="Times New Roman"/>
        </w:rPr>
      </w:r>
    </w:p>
    <w:p>
      <w:pPr>
        <w:pStyle w:val="664"/>
        <w:numPr>
          <w:ilvl w:val="0"/>
          <w:numId w:val="2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vote_count — Number of user votes submitted</w:t>
      </w:r>
      <w:r>
        <w:rPr>
          <w:rFonts w:ascii="Times New Roman" w:hAnsi="Times New Roman" w:eastAsia="Times New Roman" w:cs="Times New Roman"/>
        </w:rPr>
      </w:r>
    </w:p>
    <w:p>
      <w:pPr>
        <w:pStyle w:val="664"/>
        <w:numPr>
          <w:ilvl w:val="0"/>
          <w:numId w:val="2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vote_average — Average rating on a 0–10 scale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aa0000"/>
          <w:sz w:val="24"/>
        </w:rPr>
        <w:t xml:space="preserve">⚠️ </w:t>
      </w:r>
      <w:r>
        <w:rPr>
          <w:rFonts w:ascii="Times New Roman" w:hAnsi="Times New Roman" w:eastAsia="Times New Roman" w:cs="Times New Roman"/>
          <w:i/>
          <w:color w:val="aa0000"/>
          <w:sz w:val="22"/>
        </w:rPr>
        <w:t xml:space="preserve">Note: Ratings are more reliable when vote_count is high (low count = potentially biased).</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8"/>
        <w:numPr>
          <w:ilvl w:val="0"/>
          <w:numId w:val="0"/>
        </w:numPr>
        <w:pBdr>
          <w:top w:val="none" w:color="000000" w:sz="4" w:space="0"/>
          <w:left w:val="none" w:color="000000" w:sz="4" w:space="0"/>
          <w:bottom w:val="single" w:color="f5c518" w:sz="6"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1f1f1f"/>
          <w:sz w:val="32"/>
        </w:rPr>
        <w:t xml:space="preserve">2. Project Overview</w:t>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2.1 Description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This project focuses on analyzing IMDb movie data to uncover patterns and insights related to movie performance, including revenue, profitability, and audience reception. The analysis uses Python for data processing and EDA, and Tableau for interactive vis</w:t>
      </w:r>
      <w:r>
        <w:rPr>
          <w:rFonts w:ascii="Times New Roman" w:hAnsi="Times New Roman" w:eastAsia="Times New Roman" w:cs="Times New Roman"/>
          <w:color w:val="1f1f1f"/>
          <w:sz w:val="22"/>
        </w:rPr>
        <w:t xml:space="preserve">ualization and dashboarding.</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2.2 Objectives</w:t>
      </w:r>
      <w:r>
        <w:rPr>
          <w:rFonts w:ascii="Times New Roman" w:hAnsi="Times New Roman" w:eastAsia="Times New Roman" w:cs="Times New Roman"/>
        </w:rPr>
      </w:r>
    </w:p>
    <w:p>
      <w:pPr>
        <w:pStyle w:val="664"/>
        <w:numPr>
          <w:ilvl w:val="0"/>
          <w:numId w:val="30"/>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Identify factors influencing movie revenue</w:t>
      </w:r>
      <w:r>
        <w:rPr>
          <w:rFonts w:ascii="Times New Roman" w:hAnsi="Times New Roman" w:eastAsia="Times New Roman" w:cs="Times New Roman"/>
        </w:rPr>
      </w:r>
    </w:p>
    <w:p>
      <w:pPr>
        <w:pStyle w:val="664"/>
        <w:numPr>
          <w:ilvl w:val="0"/>
          <w:numId w:val="30"/>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Analyze the relationship between budget and revenue</w:t>
      </w:r>
      <w:r>
        <w:rPr>
          <w:rFonts w:ascii="Times New Roman" w:hAnsi="Times New Roman" w:eastAsia="Times New Roman" w:cs="Times New Roman"/>
        </w:rPr>
      </w:r>
    </w:p>
    <w:p>
      <w:pPr>
        <w:pStyle w:val="664"/>
        <w:numPr>
          <w:ilvl w:val="0"/>
          <w:numId w:val="30"/>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Evaluate profitability through ROI and profit metrics</w:t>
      </w:r>
      <w:r>
        <w:rPr>
          <w:rFonts w:ascii="Times New Roman" w:hAnsi="Times New Roman" w:eastAsia="Times New Roman" w:cs="Times New Roman"/>
        </w:rPr>
      </w:r>
    </w:p>
    <w:p>
      <w:pPr>
        <w:pStyle w:val="664"/>
        <w:numPr>
          <w:ilvl w:val="0"/>
          <w:numId w:val="30"/>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Explore genre performance across both ratings and revenue</w:t>
      </w:r>
      <w:r>
        <w:rPr>
          <w:rFonts w:ascii="Times New Roman" w:hAnsi="Times New Roman" w:eastAsia="Times New Roman" w:cs="Times New Roman"/>
        </w:rPr>
      </w:r>
    </w:p>
    <w:p>
      <w:pPr>
        <w:pStyle w:val="664"/>
        <w:numPr>
          <w:ilvl w:val="0"/>
          <w:numId w:val="30"/>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Identify top-performing movies, directors, and actors</w:t>
      </w:r>
      <w:r>
        <w:rPr>
          <w:rFonts w:ascii="Times New Roman" w:hAnsi="Times New Roman" w:eastAsia="Times New Roman" w:cs="Times New Roman"/>
        </w:rPr>
      </w:r>
    </w:p>
    <w:p>
      <w:pPr>
        <w:pStyle w:val="664"/>
        <w:numPr>
          <w:ilvl w:val="0"/>
          <w:numId w:val="30"/>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Analyze movie industry trends over time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2.3 Limitations</w:t>
      </w:r>
      <w:r>
        <w:rPr>
          <w:rFonts w:ascii="Times New Roman" w:hAnsi="Times New Roman" w:eastAsia="Times New Roman" w:cs="Times New Roman"/>
        </w:rPr>
      </w:r>
    </w:p>
    <w:p>
      <w:pPr>
        <w:pStyle w:val="664"/>
        <w:numPr>
          <w:ilvl w:val="0"/>
          <w:numId w:val="31"/>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Missing values are represented as zero in budget and revenue columns — these must be filtered before financial analysis</w:t>
      </w:r>
      <w:r>
        <w:rPr>
          <w:rFonts w:ascii="Times New Roman" w:hAnsi="Times New Roman" w:eastAsia="Times New Roman" w:cs="Times New Roman"/>
        </w:rPr>
      </w:r>
    </w:p>
    <w:p>
      <w:pPr>
        <w:pStyle w:val="664"/>
        <w:numPr>
          <w:ilvl w:val="0"/>
          <w:numId w:val="31"/>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Genre data contains multiple values per row (pipe-separated) and requires splitting for accurate genre-level analysis</w:t>
      </w:r>
      <w:r>
        <w:rPr>
          <w:rFonts w:ascii="Times New Roman" w:hAnsi="Times New Roman" w:eastAsia="Times New Roman" w:cs="Times New Roman"/>
        </w:rPr>
      </w:r>
    </w:p>
    <w:p>
      <w:pPr>
        <w:pStyle w:val="664"/>
        <w:numPr>
          <w:ilvl w:val="0"/>
          <w:numId w:val="31"/>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Ratings may be biased for movies with very low vote counts</w:t>
      </w:r>
      <w:r>
        <w:rPr>
          <w:rFonts w:ascii="Times New Roman" w:hAnsi="Times New Roman" w:eastAsia="Times New Roman" w:cs="Times New Roman"/>
        </w:rPr>
      </w:r>
    </w:p>
    <w:p>
      <w:pPr>
        <w:pStyle w:val="664"/>
        <w:numPr>
          <w:ilvl w:val="0"/>
          <w:numId w:val="31"/>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The dataset does not include streaming revenue, only box office figures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2.4 Tools Used</w:t>
      </w:r>
      <w:r>
        <w:rPr>
          <w:rFonts w:ascii="Times New Roman" w:hAnsi="Times New Roman" w:eastAsia="Times New Roman" w:cs="Times New Roman"/>
        </w:rPr>
      </w:r>
    </w:p>
    <w:p>
      <w:pPr>
        <w:pStyle w:val="664"/>
        <w:numPr>
          <w:ilvl w:val="0"/>
          <w:numId w:val="32"/>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Python — Pandas, NumPy, Matplotlib, Seaborn for EDA and statistical analysis</w:t>
      </w:r>
      <w:r>
        <w:rPr>
          <w:rFonts w:ascii="Times New Roman" w:hAnsi="Times New Roman" w:eastAsia="Times New Roman" w:cs="Times New Roman"/>
        </w:rPr>
      </w:r>
    </w:p>
    <w:p>
      <w:pPr>
        <w:pStyle w:val="664"/>
        <w:numPr>
          <w:ilvl w:val="0"/>
          <w:numId w:val="32"/>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Tableau — Dashboard creation and interactive visualization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8"/>
        <w:numPr>
          <w:ilvl w:val="0"/>
          <w:numId w:val="0"/>
        </w:numPr>
        <w:pBdr>
          <w:top w:val="none" w:color="000000" w:sz="4" w:space="0"/>
          <w:left w:val="none" w:color="000000" w:sz="4" w:space="0"/>
          <w:bottom w:val="single" w:color="f5c518" w:sz="6"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1f1f1f"/>
          <w:sz w:val="32"/>
        </w:rPr>
        <w:t xml:space="preserve">3. Data Preparation</w:t>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3.1 Data Types and Transformations</w:t>
      </w:r>
      <w:r>
        <w:rPr>
          <w:rFonts w:ascii="Times New Roman" w:hAnsi="Times New Roman" w:eastAsia="Times New Roman" w:cs="Times New Roman"/>
        </w:rPr>
      </w:r>
    </w:p>
    <w:p>
      <w:pPr>
        <w:pStyle w:val="664"/>
        <w:numPr>
          <w:ilvl w:val="0"/>
          <w:numId w:val="33"/>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release_year converted from integer to numeric type for time-based analysis</w:t>
      </w:r>
      <w:r>
        <w:rPr>
          <w:rFonts w:ascii="Times New Roman" w:hAnsi="Times New Roman" w:eastAsia="Times New Roman" w:cs="Times New Roman"/>
        </w:rPr>
      </w:r>
    </w:p>
    <w:p>
      <w:pPr>
        <w:pStyle w:val="664"/>
        <w:numPr>
          <w:ilvl w:val="0"/>
          <w:numId w:val="33"/>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genres and cast columns split by pipe separator ('|') to enable multi-label analysis</w:t>
      </w:r>
      <w:r>
        <w:rPr>
          <w:rFonts w:ascii="Times New Roman" w:hAnsi="Times New Roman" w:eastAsia="Times New Roman" w:cs="Times New Roman"/>
        </w:rPr>
      </w:r>
    </w:p>
    <w:p>
      <w:pPr>
        <w:pStyle w:val="664"/>
        <w:numPr>
          <w:ilvl w:val="0"/>
          <w:numId w:val="33"/>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Rows with budget = 0 or revenue = 0 filtered out (treated as missing data)</w:t>
      </w:r>
      <w:r>
        <w:rPr>
          <w:rFonts w:ascii="Times New Roman" w:hAnsi="Times New Roman" w:eastAsia="Times New Roman" w:cs="Times New Roman"/>
        </w:rPr>
      </w:r>
    </w:p>
    <w:p>
      <w:pPr>
        <w:pStyle w:val="664"/>
        <w:numPr>
          <w:ilvl w:val="0"/>
          <w:numId w:val="33"/>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ROI (Return on Investment) calculated as: ROI = (Revenue − Budget) / Budget</w:t>
      </w:r>
      <w:r>
        <w:rPr>
          <w:rFonts w:ascii="Times New Roman" w:hAnsi="Times New Roman" w:eastAsia="Times New Roman" w:cs="Times New Roman"/>
        </w:rPr>
      </w:r>
    </w:p>
    <w:p>
      <w:pPr>
        <w:pStyle w:val="664"/>
        <w:numPr>
          <w:ilvl w:val="0"/>
          <w:numId w:val="33"/>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Profit column derived as: Profit = Revenue − Budget</w:t>
      </w:r>
      <w:r>
        <w:rPr>
          <w:rFonts w:ascii="Times New Roman" w:hAnsi="Times New Roman" w:eastAsia="Times New Roman" w:cs="Times New Roman"/>
        </w:rPr>
      </w:r>
    </w:p>
    <w:p>
      <w:pPr>
        <w:pStyle w:val="664"/>
        <w:numPr>
          <w:ilvl w:val="0"/>
          <w:numId w:val="33"/>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Decade column derived from release_year for decade-level trend grouping</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3.2 Missing Values &amp; Duplicates</w:t>
      </w:r>
      <w:r>
        <w:rPr>
          <w:rFonts w:ascii="Times New Roman" w:hAnsi="Times New Roman" w:eastAsia="Times New Roman" w:cs="Times New Roman"/>
        </w:rPr>
      </w:r>
    </w:p>
    <w:p>
      <w:pPr>
        <w:pStyle w:val="664"/>
        <w:numPr>
          <w:ilvl w:val="0"/>
          <w:numId w:val="34"/>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4 missing values found in cast column — kept as-is (minor, not dropped)</w:t>
      </w:r>
      <w:r>
        <w:rPr>
          <w:rFonts w:ascii="Times New Roman" w:hAnsi="Times New Roman" w:eastAsia="Times New Roman" w:cs="Times New Roman"/>
        </w:rPr>
      </w:r>
    </w:p>
    <w:p>
      <w:pPr>
        <w:pStyle w:val="664"/>
        <w:numPr>
          <w:ilvl w:val="0"/>
          <w:numId w:val="34"/>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1 missing value found in director column — kept as-is</w:t>
      </w:r>
      <w:r>
        <w:rPr>
          <w:rFonts w:ascii="Times New Roman" w:hAnsi="Times New Roman" w:eastAsia="Times New Roman" w:cs="Times New Roman"/>
        </w:rPr>
      </w:r>
    </w:p>
    <w:p>
      <w:pPr>
        <w:pStyle w:val="664"/>
        <w:numPr>
          <w:ilvl w:val="0"/>
          <w:numId w:val="34"/>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No duplicate rows detected after initial check</w:t>
      </w:r>
      <w:r>
        <w:rPr>
          <w:rFonts w:ascii="Times New Roman" w:hAnsi="Times New Roman" w:eastAsia="Times New Roman" w:cs="Times New Roman"/>
        </w:rPr>
      </w:r>
    </w:p>
    <w:p>
      <w:pPr>
        <w:pStyle w:val="664"/>
        <w:numPr>
          <w:ilvl w:val="0"/>
          <w:numId w:val="34"/>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After filtering zero-budget/revenue rows: ~2,000 movies remain for financial analysis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8"/>
        <w:numPr>
          <w:ilvl w:val="0"/>
          <w:numId w:val="0"/>
        </w:numPr>
        <w:pBdr>
          <w:top w:val="none" w:color="000000" w:sz="4" w:space="0"/>
          <w:left w:val="none" w:color="000000" w:sz="4" w:space="0"/>
          <w:bottom w:val="single" w:color="f5c518" w:sz="6"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1f1f1f"/>
          <w:sz w:val="32"/>
        </w:rPr>
        <w:t xml:space="preserve">4. Key Performance Indicators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29"/>
        <w:gridCol w:w="2044"/>
        <w:gridCol w:w="2038"/>
        <w:gridCol w:w="2029"/>
      </w:tblGrid>
      <w:tr>
        <w:trPr/>
        <w:tc>
          <w:tcPr>
            <w:shd w:val="clear" w:color="f5c518" w:fill="f5c518"/>
            <w:tcBorders>
              <w:top w:val="single" w:color="cccccc" w:sz="6" w:space="0"/>
              <w:left w:val="single" w:color="cccccc" w:sz="6" w:space="0"/>
              <w:bottom w:val="single" w:color="cccccc" w:sz="6" w:space="0"/>
              <w:right w:val="single" w:color="cccccc" w:sz="6" w:space="0"/>
            </w:tcBorders>
            <w:tcMar>
              <w:left w:w="144" w:type="dxa"/>
              <w:top w:w="115" w:type="dxa"/>
              <w:right w:w="144" w:type="dxa"/>
              <w:bottom w:w="115" w:type="dxa"/>
            </w:tcMar>
            <w:tcW w:w="2029" w:type="dxa"/>
            <w:vAlign w:val="center"/>
            <w:textDirection w:val="lrTb"/>
            <w:noWrap w:val="false"/>
          </w:tcPr>
          <w:p>
            <w:pPr>
              <w:pBdr>
                <w:top w:val="none" w:color="000000" w:sz="4" w:space="0"/>
                <w:left w:val="none" w:color="000000" w:sz="4" w:space="0"/>
                <w:bottom w:val="none" w:color="000000" w:sz="4" w:space="0"/>
                <w:right w:val="none" w:color="000000" w:sz="4" w:space="0"/>
              </w:pBdr>
              <w:shd w:val="clear" w:color="f5c518" w:fill="f5c518"/>
              <w:spacing w:after="0" w:line="276" w:lineRule="atLeast"/>
              <w:ind w:right="0" w:firstLine="0" w:left="0"/>
              <w:jc w:val="center"/>
              <w:rPr>
                <w:rFonts w:ascii="Times New Roman" w:hAnsi="Times New Roman" w:cs="Times New Roman"/>
              </w:rPr>
            </w:pPr>
            <w:r>
              <w:rPr>
                <w:rFonts w:ascii="Times New Roman" w:hAnsi="Times New Roman" w:eastAsia="Times New Roman" w:cs="Times New Roman"/>
                <w:b/>
                <w:color w:val="1f1f1f"/>
                <w:sz w:val="28"/>
              </w:rPr>
              <w:t xml:space="preserve">$415B</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hd w:val="clear" w:color="f5c518" w:fill="f5c518"/>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555555"/>
                <w:sz w:val="18"/>
              </w:rPr>
              <w:t xml:space="preserve">Total Revenue</w:t>
            </w:r>
            <w:r>
              <w:rPr>
                <w:rFonts w:ascii="Times New Roman" w:hAnsi="Times New Roman" w:eastAsia="Times New Roman" w:cs="Times New Roman"/>
              </w:rPr>
            </w:r>
          </w:p>
        </w:tc>
        <w:tc>
          <w:tcPr>
            <w:shd w:val="clear" w:color="f5c518" w:fill="f5c518"/>
            <w:tcBorders>
              <w:top w:val="single" w:color="cccccc" w:sz="6" w:space="0"/>
              <w:left w:val="single" w:color="cccccc" w:sz="6" w:space="0"/>
              <w:bottom w:val="single" w:color="cccccc" w:sz="6" w:space="0"/>
              <w:right w:val="single" w:color="cccccc" w:sz="6" w:space="0"/>
            </w:tcBorders>
            <w:tcMar>
              <w:left w:w="144" w:type="dxa"/>
              <w:top w:w="115" w:type="dxa"/>
              <w:right w:w="144" w:type="dxa"/>
              <w:bottom w:w="115" w:type="dxa"/>
            </w:tcMar>
            <w:tcW w:w="2044" w:type="dxa"/>
            <w:vAlign w:val="center"/>
            <w:textDirection w:val="lrTb"/>
            <w:noWrap w:val="false"/>
          </w:tcPr>
          <w:p>
            <w:pPr>
              <w:pBdr>
                <w:top w:val="none" w:color="000000" w:sz="4" w:space="0"/>
                <w:left w:val="none" w:color="000000" w:sz="4" w:space="0"/>
                <w:bottom w:val="none" w:color="000000" w:sz="4" w:space="0"/>
                <w:right w:val="none" w:color="000000" w:sz="4" w:space="0"/>
              </w:pBdr>
              <w:shd w:val="clear" w:color="f5c518" w:fill="f5c518"/>
              <w:spacing w:after="0" w:line="276" w:lineRule="atLeast"/>
              <w:ind w:right="0" w:firstLine="0" w:left="0"/>
              <w:jc w:val="center"/>
              <w:rPr>
                <w:rFonts w:ascii="Times New Roman" w:hAnsi="Times New Roman" w:cs="Times New Roman"/>
              </w:rPr>
            </w:pPr>
            <w:r>
              <w:rPr>
                <w:rFonts w:ascii="Times New Roman" w:hAnsi="Times New Roman" w:eastAsia="Times New Roman" w:cs="Times New Roman"/>
                <w:b/>
                <w:color w:val="1f1f1f"/>
                <w:sz w:val="28"/>
              </w:rPr>
              <w:t xml:space="preserve">$143B</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hd w:val="clear" w:color="f5c518" w:fill="f5c518"/>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555555"/>
                <w:sz w:val="18"/>
              </w:rPr>
              <w:t xml:space="preserve">Total Budget</w:t>
            </w:r>
            <w:r>
              <w:rPr>
                <w:rFonts w:ascii="Times New Roman" w:hAnsi="Times New Roman" w:eastAsia="Times New Roman" w:cs="Times New Roman"/>
              </w:rPr>
            </w:r>
          </w:p>
        </w:tc>
        <w:tc>
          <w:tcPr>
            <w:shd w:val="clear" w:color="f5c518" w:fill="f5c518"/>
            <w:tcBorders>
              <w:top w:val="single" w:color="cccccc" w:sz="6" w:space="0"/>
              <w:left w:val="single" w:color="cccccc" w:sz="6" w:space="0"/>
              <w:bottom w:val="single" w:color="cccccc" w:sz="6" w:space="0"/>
              <w:right w:val="single" w:color="cccccc" w:sz="6" w:space="0"/>
            </w:tcBorders>
            <w:tcMar>
              <w:left w:w="144" w:type="dxa"/>
              <w:top w:w="115" w:type="dxa"/>
              <w:right w:w="144" w:type="dxa"/>
              <w:bottom w:w="115" w:type="dxa"/>
            </w:tcMar>
            <w:tcW w:w="2038" w:type="dxa"/>
            <w:vAlign w:val="center"/>
            <w:textDirection w:val="lrTb"/>
            <w:noWrap w:val="false"/>
          </w:tcPr>
          <w:p>
            <w:pPr>
              <w:pBdr>
                <w:top w:val="none" w:color="000000" w:sz="4" w:space="0"/>
                <w:left w:val="none" w:color="000000" w:sz="4" w:space="0"/>
                <w:bottom w:val="none" w:color="000000" w:sz="4" w:space="0"/>
                <w:right w:val="none" w:color="000000" w:sz="4" w:space="0"/>
              </w:pBdr>
              <w:shd w:val="clear" w:color="f5c518" w:fill="f5c518"/>
              <w:spacing w:after="0" w:line="276" w:lineRule="atLeast"/>
              <w:ind w:right="0" w:firstLine="0" w:left="0"/>
              <w:jc w:val="center"/>
              <w:rPr>
                <w:rFonts w:ascii="Times New Roman" w:hAnsi="Times New Roman" w:cs="Times New Roman"/>
              </w:rPr>
            </w:pPr>
            <w:r>
              <w:rPr>
                <w:rFonts w:ascii="Times New Roman" w:hAnsi="Times New Roman" w:eastAsia="Times New Roman" w:cs="Times New Roman"/>
                <w:b/>
                <w:color w:val="1f1f1f"/>
                <w:sz w:val="28"/>
              </w:rPr>
              <w:t xml:space="preserve">3,854</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hd w:val="clear" w:color="f5c518" w:fill="f5c518"/>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555555"/>
                <w:sz w:val="18"/>
              </w:rPr>
              <w:t xml:space="preserve">Total Movies</w:t>
            </w:r>
            <w:r>
              <w:rPr>
                <w:rFonts w:ascii="Times New Roman" w:hAnsi="Times New Roman" w:eastAsia="Times New Roman" w:cs="Times New Roman"/>
              </w:rPr>
            </w:r>
          </w:p>
        </w:tc>
        <w:tc>
          <w:tcPr>
            <w:shd w:val="clear" w:color="f5c518" w:fill="f5c518"/>
            <w:tcBorders>
              <w:top w:val="single" w:color="cccccc" w:sz="6" w:space="0"/>
              <w:left w:val="single" w:color="cccccc" w:sz="6" w:space="0"/>
              <w:bottom w:val="single" w:color="cccccc" w:sz="6" w:space="0"/>
              <w:right w:val="single" w:color="cccccc" w:sz="6" w:space="0"/>
            </w:tcBorders>
            <w:tcMar>
              <w:left w:w="144" w:type="dxa"/>
              <w:top w:w="115" w:type="dxa"/>
              <w:right w:w="144" w:type="dxa"/>
              <w:bottom w:w="115" w:type="dxa"/>
            </w:tcMar>
            <w:tcW w:w="2029" w:type="dxa"/>
            <w:vAlign w:val="center"/>
            <w:textDirection w:val="lrTb"/>
            <w:noWrap w:val="false"/>
          </w:tcPr>
          <w:p>
            <w:pPr>
              <w:pBdr>
                <w:top w:val="none" w:color="000000" w:sz="4" w:space="0"/>
                <w:left w:val="none" w:color="000000" w:sz="4" w:space="0"/>
                <w:bottom w:val="none" w:color="000000" w:sz="4" w:space="0"/>
                <w:right w:val="none" w:color="000000" w:sz="4" w:space="0"/>
              </w:pBdr>
              <w:shd w:val="clear" w:color="f5c518" w:fill="f5c518"/>
              <w:spacing w:after="0" w:line="276" w:lineRule="atLeast"/>
              <w:ind w:right="0" w:firstLine="0" w:left="0"/>
              <w:jc w:val="center"/>
              <w:rPr>
                <w:rFonts w:ascii="Times New Roman" w:hAnsi="Times New Roman" w:cs="Times New Roman"/>
              </w:rPr>
            </w:pPr>
            <w:r>
              <w:rPr>
                <w:rFonts w:ascii="Times New Roman" w:hAnsi="Times New Roman" w:eastAsia="Times New Roman" w:cs="Times New Roman"/>
                <w:b/>
                <w:color w:val="1f1f1f"/>
                <w:sz w:val="28"/>
              </w:rPr>
              <w:t xml:space="preserve">33</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hd w:val="clear" w:color="f5c518" w:fill="f5c518"/>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555555"/>
                <w:sz w:val="18"/>
              </w:rPr>
              <w:t xml:space="preserve">Max Popularity</w:t>
            </w:r>
            <w:r>
              <w:rPr>
                <w:rFonts w:ascii="Times New Roman" w:hAnsi="Times New Roman" w:eastAsia="Times New Roman" w:cs="Times New Roman"/>
              </w:rPr>
            </w:r>
          </w:p>
        </w:tc>
      </w:tr>
    </w:tbl>
    <w:p>
      <w:pPr>
        <w:pBdr>
          <w:top w:val="none" w:color="000000" w:sz="4" w:space="0"/>
          <w:left w:val="none" w:color="000000" w:sz="4" w:space="0"/>
          <w:bottom w:val="none" w:color="000000" w:sz="4" w:space="0"/>
          <w:right w:val="none" w:color="000000" w:sz="4" w:space="0"/>
        </w:pBdr>
        <w:spacing w:after="0" w:before="158"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8"/>
        <w:numPr>
          <w:ilvl w:val="0"/>
          <w:numId w:val="0"/>
        </w:numPr>
        <w:pBdr>
          <w:top w:val="none" w:color="000000" w:sz="4" w:space="0"/>
          <w:left w:val="none" w:color="000000" w:sz="4" w:space="0"/>
          <w:bottom w:val="single" w:color="f5c518" w:sz="6"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1f1f1f"/>
          <w:sz w:val="32"/>
        </w:rPr>
        <w:t xml:space="preserve">5. Exploratory Data Analysis (EDA)</w:t>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5.1 Top 10 Directors by Total Revenue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The analysis of cumulative revenue across each director's top 10 films reveals that a small elite group dominates global box office performance: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5417"/>
        <w:gridCol w:w="3448"/>
      </w:tblGrid>
      <w:tr>
        <w:trPr/>
        <w:tc>
          <w:tcPr>
            <w:shd w:val="clear" w:color="1f1f1f" w:fill="1f1f1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76" w:lineRule="atLeast"/>
              <w:ind w:right="0" w:firstLine="0" w:left="0"/>
              <w:rPr>
                <w:rFonts w:ascii="Times New Roman" w:hAnsi="Times New Roman" w:cs="Times New Roman"/>
              </w:rPr>
            </w:pPr>
            <w:r>
              <w:rPr>
                <w:rFonts w:ascii="Times New Roman" w:hAnsi="Times New Roman" w:eastAsia="Times New Roman" w:cs="Times New Roman"/>
                <w:b/>
                <w:color w:val="ffffff"/>
                <w:sz w:val="20"/>
              </w:rPr>
              <w:t xml:space="preserve">Director</w:t>
            </w:r>
            <w:r>
              <w:rPr>
                <w:rFonts w:ascii="Times New Roman" w:hAnsi="Times New Roman" w:eastAsia="Times New Roman" w:cs="Times New Roman"/>
              </w:rPr>
            </w:r>
          </w:p>
        </w:tc>
        <w:tc>
          <w:tcPr>
            <w:shd w:val="clear" w:color="1f1f1f" w:fill="1f1f1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76" w:lineRule="atLeast"/>
              <w:ind w:right="0" w:firstLine="0" w:left="0"/>
              <w:rPr>
                <w:rFonts w:ascii="Times New Roman" w:hAnsi="Times New Roman" w:cs="Times New Roman"/>
              </w:rPr>
            </w:pPr>
            <w:r>
              <w:rPr>
                <w:rFonts w:ascii="Times New Roman" w:hAnsi="Times New Roman" w:eastAsia="Times New Roman" w:cs="Times New Roman"/>
                <w:b/>
                <w:color w:val="ffffff"/>
                <w:sz w:val="20"/>
              </w:rPr>
              <w:t xml:space="preserve">Total Revenue (Top 10)</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Peter Jackson</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$6.52B</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James Cameron</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$5.84B</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Steven Spielberg</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$5.64B</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Michael Bay</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$4.83B</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Christopher Nolan</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$4.17B</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David Yates</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$4.15B</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Chris Columbus</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$3.73B</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J.J. Abrams</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$3.58B</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Gore Verbinski</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$3.55B</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541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Roland Emmerich</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3448"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$3.39B</w:t>
            </w:r>
            <w:r>
              <w:rPr>
                <w:rFonts w:ascii="Times New Roman" w:hAnsi="Times New Roman" w:eastAsia="Times New Roman" w:cs="Times New Roman"/>
              </w:rPr>
            </w:r>
          </w:p>
        </w:tc>
      </w:tr>
    </w:tbl>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444444"/>
          <w:sz w:val="24"/>
        </w:rPr>
        <w:t xml:space="preserve">📌 </w:t>
      </w:r>
      <w:r>
        <w:rPr>
          <w:rFonts w:ascii="Times New Roman" w:hAnsi="Times New Roman" w:eastAsia="Times New Roman" w:cs="Times New Roman"/>
          <w:i/>
          <w:color w:val="444444"/>
          <w:sz w:val="22"/>
        </w:rPr>
        <w:t xml:space="preserve">Insight: Peter Jackson leads with over $6.5B driven primarily by the Lord of the Rings and Hobbit franchises. The top 10 directors are all associated with major franchise films, indicating that franchise association — rather than individual film quality al</w:t>
      </w:r>
      <w:r>
        <w:rPr>
          <w:rFonts w:ascii="Times New Roman" w:hAnsi="Times New Roman" w:eastAsia="Times New Roman" w:cs="Times New Roman"/>
          <w:i/>
          <w:color w:val="444444"/>
          <w:sz w:val="22"/>
        </w:rPr>
        <w:t xml:space="preserve">one — is a critical revenue driver. Experienced directors consistently attract larger budgets and broader marketing campaigns.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5.2 Top 10 Movies by Revenue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The highest-grossing movies in the dataset are dominated by action and adventure franchise films: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74"/>
        <w:gridCol w:w="2150"/>
        <w:gridCol w:w="1794"/>
      </w:tblGrid>
      <w:tr>
        <w:trPr/>
        <w:tc>
          <w:tcPr>
            <w:shd w:val="clear" w:color="1f1f1f" w:fill="1f1f1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76" w:lineRule="atLeast"/>
              <w:ind w:right="0" w:firstLine="0" w:left="0"/>
              <w:rPr>
                <w:rFonts w:ascii="Times New Roman" w:hAnsi="Times New Roman" w:cs="Times New Roman"/>
              </w:rPr>
            </w:pPr>
            <w:r>
              <w:rPr>
                <w:rFonts w:ascii="Times New Roman" w:hAnsi="Times New Roman" w:eastAsia="Times New Roman" w:cs="Times New Roman"/>
                <w:b/>
                <w:color w:val="ffffff"/>
                <w:sz w:val="20"/>
              </w:rPr>
              <w:t xml:space="preserve">Movie Title</w:t>
            </w:r>
            <w:r>
              <w:rPr>
                <w:rFonts w:ascii="Times New Roman" w:hAnsi="Times New Roman" w:eastAsia="Times New Roman" w:cs="Times New Roman"/>
              </w:rPr>
            </w:r>
          </w:p>
        </w:tc>
        <w:tc>
          <w:tcPr>
            <w:shd w:val="clear" w:color="1f1f1f" w:fill="1f1f1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76" w:lineRule="atLeast"/>
              <w:ind w:right="0" w:firstLine="0" w:left="0"/>
              <w:rPr>
                <w:rFonts w:ascii="Times New Roman" w:hAnsi="Times New Roman" w:cs="Times New Roman"/>
              </w:rPr>
            </w:pPr>
            <w:r>
              <w:rPr>
                <w:rFonts w:ascii="Times New Roman" w:hAnsi="Times New Roman" w:eastAsia="Times New Roman" w:cs="Times New Roman"/>
                <w:b/>
                <w:color w:val="ffffff"/>
                <w:sz w:val="20"/>
              </w:rPr>
              <w:t xml:space="preserve">Revenue</w:t>
            </w:r>
            <w:r>
              <w:rPr>
                <w:rFonts w:ascii="Times New Roman" w:hAnsi="Times New Roman" w:eastAsia="Times New Roman" w:cs="Times New Roman"/>
              </w:rPr>
            </w:r>
          </w:p>
        </w:tc>
        <w:tc>
          <w:tcPr>
            <w:shd w:val="clear" w:color="1f1f1f" w:fill="1f1f1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76" w:lineRule="atLeast"/>
              <w:ind w:right="0" w:firstLine="0" w:left="0"/>
              <w:rPr>
                <w:rFonts w:ascii="Times New Roman" w:hAnsi="Times New Roman" w:cs="Times New Roman"/>
              </w:rPr>
            </w:pPr>
            <w:r>
              <w:rPr>
                <w:rFonts w:ascii="Times New Roman" w:hAnsi="Times New Roman" w:eastAsia="Times New Roman" w:cs="Times New Roman"/>
                <w:b/>
                <w:color w:val="ffffff"/>
                <w:sz w:val="20"/>
              </w:rPr>
              <w:t xml:space="preserve">Genre</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Avatar</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$2.78B</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Action</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Star Wars: The Force Awakens</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$2.07B</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Action</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Titanic</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$1.84B</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Drama</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The Avengers</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$1.57B</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Action</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Jurassic World</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$1.51B</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Action</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Furious 7</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$1.51B</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Action</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Avengers: Age of Ultron</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$1.41B</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Action</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Harry Potter: Deathly Hallows Pt.2</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$1.33B</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Adventure</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Frozen</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$1.27B</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Animation</w:t>
            </w:r>
            <w:r>
              <w:rPr>
                <w:rFonts w:ascii="Times New Roman" w:hAnsi="Times New Roman" w:eastAsia="Times New Roman" w:cs="Times New Roman"/>
              </w:rPr>
            </w:r>
          </w:p>
        </w:tc>
      </w:tr>
      <w:tr>
        <w:trPr/>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467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Iron Man 3</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150"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1a7a1a"/>
                <w:sz w:val="20"/>
              </w:rPr>
              <w:t xml:space="preserve">$1.22B</w:t>
            </w:r>
            <w:r>
              <w:rPr>
                <w:rFonts w:ascii="Times New Roman" w:hAnsi="Times New Roman" w:eastAsia="Times New Roman" w:cs="Times New Roman"/>
              </w:rPr>
            </w:r>
          </w:p>
        </w:tc>
        <w:tc>
          <w:tcPr>
            <w:shd w:val="clear" w:color="f2f2f2" w:fill="f2f2f2"/>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1794"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2f2f2" w:fill="f2f2f2"/>
              <w:spacing w:line="276" w:lineRule="atLeast"/>
              <w:ind w:right="0" w:firstLine="0" w:left="0"/>
              <w:rPr>
                <w:rFonts w:ascii="Times New Roman" w:hAnsi="Times New Roman" w:cs="Times New Roman"/>
              </w:rPr>
            </w:pPr>
            <w:r>
              <w:rPr>
                <w:rFonts w:ascii="Times New Roman" w:hAnsi="Times New Roman" w:eastAsia="Times New Roman" w:cs="Times New Roman"/>
                <w:color w:val="000000"/>
                <w:sz w:val="20"/>
              </w:rPr>
              <w:t xml:space="preserve">Action</w:t>
            </w:r>
            <w:r>
              <w:rPr>
                <w:rFonts w:ascii="Times New Roman" w:hAnsi="Times New Roman" w:eastAsia="Times New Roman" w:cs="Times New Roman"/>
              </w:rPr>
            </w:r>
          </w:p>
        </w:tc>
      </w:tr>
    </w:tbl>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444444"/>
          <w:sz w:val="24"/>
        </w:rPr>
        <w:t xml:space="preserve">📌 </w:t>
      </w:r>
      <w:r>
        <w:rPr>
          <w:rFonts w:ascii="Times New Roman" w:hAnsi="Times New Roman" w:eastAsia="Times New Roman" w:cs="Times New Roman"/>
          <w:i/>
          <w:color w:val="444444"/>
          <w:sz w:val="22"/>
        </w:rPr>
        <w:t xml:space="preserve">Insight: Avatar alone generated $2.78B, nearly $700M more than the next-highest film. 8 out of the top 10 movies are part of major franchises (Marvel, Star Wars, Harry Potter, Fast &amp; Furious). Animation (Frozen) is the only non-live-action entry, demonstra</w:t>
      </w:r>
      <w:r>
        <w:rPr>
          <w:rFonts w:ascii="Times New Roman" w:hAnsi="Times New Roman" w:eastAsia="Times New Roman" w:cs="Times New Roman"/>
          <w:i/>
          <w:color w:val="444444"/>
          <w:sz w:val="22"/>
        </w:rPr>
        <w:t xml:space="preserve">ting the broad revenue potential of animated films. The dominance of the Action genre confirms its commercial advantage.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5.3 Genre Analysis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After correctly splitting the pipe-separated genres column, the distribution across single genres shows:</w:t>
      </w:r>
      <w:r>
        <w:rPr>
          <w:rFonts w:ascii="Times New Roman" w:hAnsi="Times New Roman" w:eastAsia="Times New Roman" w:cs="Times New Roman"/>
        </w:rPr>
      </w:r>
    </w:p>
    <w:p>
      <w:pPr>
        <w:pStyle w:val="664"/>
        <w:numPr>
          <w:ilvl w:val="0"/>
          <w:numId w:val="35"/>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Drama is the most common genre (890 films), followed by Comedy (787) and Action (689)</w:t>
      </w:r>
      <w:r>
        <w:rPr>
          <w:rFonts w:ascii="Times New Roman" w:hAnsi="Times New Roman" w:eastAsia="Times New Roman" w:cs="Times New Roman"/>
        </w:rPr>
      </w:r>
    </w:p>
    <w:p>
      <w:pPr>
        <w:pStyle w:val="664"/>
        <w:numPr>
          <w:ilvl w:val="0"/>
          <w:numId w:val="35"/>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However, Action generates the highest average revenue per film despite being third in count</w:t>
      </w:r>
      <w:r>
        <w:rPr>
          <w:rFonts w:ascii="Times New Roman" w:hAnsi="Times New Roman" w:eastAsia="Times New Roman" w:cs="Times New Roman"/>
        </w:rPr>
      </w:r>
    </w:p>
    <w:p>
      <w:pPr>
        <w:pStyle w:val="664"/>
        <w:numPr>
          <w:ilvl w:val="0"/>
          <w:numId w:val="35"/>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Documentary has the highest average rating (6.66) but the lowest average revenue</w:t>
      </w:r>
      <w:r>
        <w:rPr>
          <w:rFonts w:ascii="Times New Roman" w:hAnsi="Times New Roman" w:eastAsia="Times New Roman" w:cs="Times New Roman"/>
        </w:rPr>
      </w:r>
    </w:p>
    <w:p>
      <w:pPr>
        <w:pStyle w:val="664"/>
        <w:numPr>
          <w:ilvl w:val="0"/>
          <w:numId w:val="35"/>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Animation shows a strong balance of both high revenue and above-average ratings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444444"/>
          <w:sz w:val="24"/>
        </w:rPr>
        <w:t xml:space="preserve">📌 </w:t>
      </w:r>
      <w:r>
        <w:rPr>
          <w:rFonts w:ascii="Times New Roman" w:hAnsi="Times New Roman" w:eastAsia="Times New Roman" w:cs="Times New Roman"/>
          <w:i/>
          <w:color w:val="444444"/>
          <w:sz w:val="22"/>
        </w:rPr>
        <w:t xml:space="preserve">Insight: Volume of movies does not equal revenue dominance. Action films are fewer than Drama but generate significantly more revenue on average. This shows that genre selection directly impacts commercial expectations. Ratings and revenue measure differen</w:t>
      </w:r>
      <w:r>
        <w:rPr>
          <w:rFonts w:ascii="Times New Roman" w:hAnsi="Times New Roman" w:eastAsia="Times New Roman" w:cs="Times New Roman"/>
          <w:i/>
          <w:color w:val="444444"/>
          <w:sz w:val="22"/>
        </w:rPr>
        <w:t xml:space="preserve">t types of success.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5.4 Correlation Analysis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The following table summarizes key correlations between financial and audience metrics: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tbl>
      <w:tblPr>
        <w:tblStyle w:val="11"/>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65"/>
        <w:gridCol w:w="2887"/>
        <w:gridCol w:w="2866"/>
      </w:tblGrid>
      <w:tr>
        <w:trPr/>
        <w:tc>
          <w:tcPr>
            <w:shd w:val="clear" w:color="1f1f1f" w:fill="1f1f1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65"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ffffff"/>
                <w:sz w:val="20"/>
              </w:rPr>
              <w:t xml:space="preserve">Variables</w:t>
            </w:r>
            <w:r>
              <w:rPr>
                <w:rFonts w:ascii="Times New Roman" w:hAnsi="Times New Roman" w:eastAsia="Times New Roman" w:cs="Times New Roman"/>
              </w:rPr>
            </w:r>
          </w:p>
        </w:tc>
        <w:tc>
          <w:tcPr>
            <w:shd w:val="clear" w:color="1f1f1f" w:fill="1f1f1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8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ffffff"/>
                <w:sz w:val="20"/>
              </w:rPr>
              <w:t xml:space="preserve">Correlation</w:t>
            </w:r>
            <w:r>
              <w:rPr>
                <w:rFonts w:ascii="Times New Roman" w:hAnsi="Times New Roman" w:eastAsia="Times New Roman" w:cs="Times New Roman"/>
              </w:rPr>
            </w:r>
          </w:p>
        </w:tc>
        <w:tc>
          <w:tcPr>
            <w:shd w:val="clear" w:color="1f1f1f" w:fill="1f1f1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1f1f1f" w:fill="1f1f1f"/>
              <w:spacing w:line="276" w:lineRule="atLeast"/>
              <w:ind w:right="0" w:firstLine="0" w:left="0"/>
              <w:jc w:val="center"/>
              <w:rPr>
                <w:rFonts w:ascii="Times New Roman" w:hAnsi="Times New Roman" w:cs="Times New Roman"/>
              </w:rPr>
            </w:pPr>
            <w:r>
              <w:rPr>
                <w:rFonts w:ascii="Times New Roman" w:hAnsi="Times New Roman" w:eastAsia="Times New Roman" w:cs="Times New Roman"/>
                <w:b/>
                <w:color w:val="ffffff"/>
                <w:sz w:val="20"/>
              </w:rPr>
              <w:t xml:space="preserve">Strength</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65"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1f1f1f"/>
                <w:sz w:val="20"/>
              </w:rPr>
              <w:t xml:space="preserve">Budget vs Revenue</w:t>
            </w:r>
            <w:r>
              <w:rPr>
                <w:rFonts w:ascii="Times New Roman" w:hAnsi="Times New Roman" w:eastAsia="Times New Roman" w:cs="Times New Roman"/>
              </w:rPr>
            </w:r>
          </w:p>
        </w:tc>
        <w:tc>
          <w:tcPr>
            <w:shd w:val="clear" w:color="fff8dc" w:fill="fff8dc"/>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8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8dc" w:fill="fff8dc"/>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1f1f1f"/>
                <w:sz w:val="20"/>
              </w:rPr>
              <w:t xml:space="preserve">0.69</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1f1f1f"/>
                <w:sz w:val="20"/>
              </w:rPr>
              <w:t xml:space="preserve">Strong Positive</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65"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1f1f1f"/>
                <w:sz w:val="20"/>
              </w:rPr>
              <w:t xml:space="preserve">Popularity vs Revenue</w:t>
            </w:r>
            <w:r>
              <w:rPr>
                <w:rFonts w:ascii="Times New Roman" w:hAnsi="Times New Roman" w:eastAsia="Times New Roman" w:cs="Times New Roman"/>
              </w:rPr>
            </w:r>
          </w:p>
        </w:tc>
        <w:tc>
          <w:tcPr>
            <w:shd w:val="clear" w:color="fff8dc" w:fill="fff8dc"/>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8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8dc" w:fill="fff8dc"/>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1f1f1f"/>
                <w:sz w:val="20"/>
              </w:rPr>
              <w:t xml:space="preserve">0.62</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1f1f1f"/>
                <w:sz w:val="20"/>
              </w:rPr>
              <w:t xml:space="preserve">Moderate-Strong</w:t>
            </w:r>
            <w:r>
              <w:rPr>
                <w:rFonts w:ascii="Times New Roman" w:hAnsi="Times New Roman" w:eastAsia="Times New Roman" w:cs="Times New Roman"/>
              </w:rPr>
            </w:r>
          </w:p>
        </w:tc>
      </w:tr>
      <w:tr>
        <w:trPr/>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65"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1f1f1f"/>
                <w:sz w:val="20"/>
              </w:rPr>
              <w:t xml:space="preserve">Vote Average vs Popularity</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87"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1f1f1f"/>
                <w:sz w:val="20"/>
              </w:rPr>
              <w:t xml:space="preserve">0.32</w:t>
            </w:r>
            <w:r>
              <w:rPr>
                <w:rFonts w:ascii="Times New Roman" w:hAnsi="Times New Roman" w:eastAsia="Times New Roman" w:cs="Times New Roman"/>
              </w:rPr>
            </w:r>
          </w:p>
        </w:tc>
        <w:tc>
          <w:tcPr>
            <w:shd w:val="clear" w:color="ffffff" w:fill="ffffff"/>
            <w:tcBorders>
              <w:top w:val="single" w:color="cccccc" w:sz="6" w:space="0"/>
              <w:left w:val="single" w:color="cccccc" w:sz="6" w:space="0"/>
              <w:bottom w:val="single" w:color="cccccc" w:sz="6" w:space="0"/>
              <w:right w:val="single" w:color="cccccc" w:sz="6" w:space="0"/>
            </w:tcBorders>
            <w:tcMar>
              <w:left w:w="115" w:type="dxa"/>
              <w:top w:w="86" w:type="dxa"/>
              <w:right w:w="115" w:type="dxa"/>
              <w:bottom w:w="86" w:type="dxa"/>
            </w:tcMar>
            <w:tcW w:w="2866" w:type="dxa"/>
            <w:vAlign w:val="top"/>
            <w:textDirection w:val="lrTb"/>
            <w:noWrap w:val="false"/>
          </w:tcPr>
          <w:p>
            <w:pPr>
              <w:pBdr>
                <w:top w:val="none" w:color="000000" w:sz="4" w:space="0"/>
                <w:left w:val="none" w:color="000000" w:sz="4" w:space="0"/>
                <w:bottom w:val="none" w:color="000000" w:sz="4" w:space="0"/>
                <w:right w:val="none" w:color="000000" w:sz="4" w:space="0"/>
              </w:pBdr>
              <w:shd w:val="clear" w:color="ffffff" w:fill="ffffff"/>
              <w:spacing w:line="276" w:lineRule="atLeast"/>
              <w:ind w:right="0" w:firstLine="0" w:left="0"/>
              <w:jc w:val="center"/>
              <w:rPr>
                <w:rFonts w:ascii="Times New Roman" w:hAnsi="Times New Roman" w:cs="Times New Roman"/>
              </w:rPr>
            </w:pPr>
            <w:r>
              <w:rPr>
                <w:rFonts w:ascii="Times New Roman" w:hAnsi="Times New Roman" w:eastAsia="Times New Roman" w:cs="Times New Roman"/>
                <w:color w:val="1f1f1f"/>
                <w:sz w:val="20"/>
              </w:rPr>
              <w:t xml:space="preserve">Weak</w:t>
            </w:r>
            <w:r>
              <w:rPr>
                <w:rFonts w:ascii="Times New Roman" w:hAnsi="Times New Roman" w:eastAsia="Times New Roman" w:cs="Times New Roman"/>
              </w:rPr>
            </w:r>
          </w:p>
        </w:tc>
      </w:tr>
    </w:tbl>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444444"/>
          <w:sz w:val="24"/>
        </w:rPr>
        <w:t xml:space="preserve">📌 </w:t>
      </w:r>
      <w:r>
        <w:rPr>
          <w:rFonts w:ascii="Times New Roman" w:hAnsi="Times New Roman" w:eastAsia="Times New Roman" w:cs="Times New Roman"/>
          <w:i/>
          <w:color w:val="444444"/>
          <w:sz w:val="22"/>
        </w:rPr>
        <w:t xml:space="preserve">Insight: Budget is the strongest predictor of revenue (0.69), confirming that higher production investment generally yields higher returns — likely due to better production quality and larger marketing budgets. Popularity also shows a meaningful relationsh</w:t>
      </w:r>
      <w:r>
        <w:rPr>
          <w:rFonts w:ascii="Times New Roman" w:hAnsi="Times New Roman" w:eastAsia="Times New Roman" w:cs="Times New Roman"/>
          <w:i/>
          <w:color w:val="444444"/>
          <w:sz w:val="22"/>
        </w:rPr>
        <w:t xml:space="preserve">ip with revenue (0.62), reflecting audience engagement and word-of-mouth. Critically, vote_average (rating) shows a weak correlation (0.32) with both popularity and revenue, meaning critically acclaimed films are not necessarily commercial successes.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5.5 Revenue vs. Inflation-Adjusted Revenue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Comparing raw revenue with inflation-adjusted revenue (2010 USD baseline) reveals important historical context:</w:t>
      </w:r>
      <w:r>
        <w:rPr>
          <w:rFonts w:ascii="Times New Roman" w:hAnsi="Times New Roman" w:eastAsia="Times New Roman" w:cs="Times New Roman"/>
        </w:rPr>
      </w:r>
    </w:p>
    <w:p>
      <w:pPr>
        <w:pStyle w:val="664"/>
        <w:numPr>
          <w:ilvl w:val="0"/>
          <w:numId w:val="36"/>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6 movies show a revenue difference greater than $1 billion USD after adjustment</w:t>
      </w:r>
      <w:r>
        <w:rPr>
          <w:rFonts w:ascii="Times New Roman" w:hAnsi="Times New Roman" w:eastAsia="Times New Roman" w:cs="Times New Roman"/>
        </w:rPr>
      </w:r>
    </w:p>
    <w:p>
      <w:pPr>
        <w:pStyle w:val="664"/>
        <w:numPr>
          <w:ilvl w:val="0"/>
          <w:numId w:val="36"/>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Star Wars (1977): adjusted revenue exceeds original by over $2B</w:t>
      </w:r>
      <w:r>
        <w:rPr>
          <w:rFonts w:ascii="Times New Roman" w:hAnsi="Times New Roman" w:eastAsia="Times New Roman" w:cs="Times New Roman"/>
        </w:rPr>
      </w:r>
    </w:p>
    <w:p>
      <w:pPr>
        <w:pStyle w:val="664"/>
        <w:numPr>
          <w:ilvl w:val="0"/>
          <w:numId w:val="36"/>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Jaws (1975): adjusted revenue nearly 4× the original figure</w:t>
      </w:r>
      <w:r>
        <w:rPr>
          <w:rFonts w:ascii="Times New Roman" w:hAnsi="Times New Roman" w:eastAsia="Times New Roman" w:cs="Times New Roman"/>
        </w:rPr>
      </w:r>
    </w:p>
    <w:p>
      <w:pPr>
        <w:pStyle w:val="664"/>
        <w:numPr>
          <w:ilvl w:val="0"/>
          <w:numId w:val="36"/>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The Godfather (1972): adjusted revenue more than 5× the original</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444444"/>
          <w:sz w:val="24"/>
        </w:rPr>
        <w:t xml:space="preserve">📌 </w:t>
      </w:r>
      <w:r>
        <w:rPr>
          <w:rFonts w:ascii="Times New Roman" w:hAnsi="Times New Roman" w:eastAsia="Times New Roman" w:cs="Times New Roman"/>
          <w:i/>
          <w:color w:val="444444"/>
          <w:sz w:val="22"/>
        </w:rPr>
        <w:t xml:space="preserve">Insight: Older films appear financially modest in raw numbers but were massive successes for their era. Inflation adjustment reveals the true scale of classic films. Any long-term comparison of financial performance must use adjusted values — otherwise mod</w:t>
      </w:r>
      <w:r>
        <w:rPr>
          <w:rFonts w:ascii="Times New Roman" w:hAnsi="Times New Roman" w:eastAsia="Times New Roman" w:cs="Times New Roman"/>
          <w:i/>
          <w:color w:val="444444"/>
          <w:sz w:val="22"/>
        </w:rPr>
        <w:t xml:space="preserve">ern blockbusters are unfairly overrepresented.</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5.6 Time-Based Trends</w:t>
      </w:r>
      <w:r>
        <w:rPr>
          <w:rFonts w:ascii="Times New Roman" w:hAnsi="Times New Roman" w:eastAsia="Times New Roman" w:cs="Times New Roman"/>
        </w:rPr>
      </w:r>
    </w:p>
    <w:p>
      <w:pPr>
        <w:pStyle w:val="664"/>
        <w:numPr>
          <w:ilvl w:val="0"/>
          <w:numId w:val="3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Movie production volume increases significantly from the 1980s onward</w:t>
      </w:r>
      <w:r>
        <w:rPr>
          <w:rFonts w:ascii="Times New Roman" w:hAnsi="Times New Roman" w:eastAsia="Times New Roman" w:cs="Times New Roman"/>
        </w:rPr>
      </w:r>
    </w:p>
    <w:p>
      <w:pPr>
        <w:pStyle w:val="664"/>
        <w:numPr>
          <w:ilvl w:val="0"/>
          <w:numId w:val="3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Average revenue per film rises sharply post-2000, driven by franchise films and global distribution</w:t>
      </w:r>
      <w:r>
        <w:rPr>
          <w:rFonts w:ascii="Times New Roman" w:hAnsi="Times New Roman" w:eastAsia="Times New Roman" w:cs="Times New Roman"/>
        </w:rPr>
      </w:r>
    </w:p>
    <w:p>
      <w:pPr>
        <w:pStyle w:val="664"/>
        <w:numPr>
          <w:ilvl w:val="0"/>
          <w:numId w:val="3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Drama dominated genre production in earlier decades; Action overtook it in terms of revenue from the 1990s</w:t>
      </w:r>
      <w:r>
        <w:rPr>
          <w:rFonts w:ascii="Times New Roman" w:hAnsi="Times New Roman" w:eastAsia="Times New Roman" w:cs="Times New Roman"/>
        </w:rPr>
      </w:r>
    </w:p>
    <w:p>
      <w:pPr>
        <w:pStyle w:val="664"/>
        <w:numPr>
          <w:ilvl w:val="0"/>
          <w:numId w:val="37"/>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Budget inflation is also visible — modern blockbusters routinely exceed $150M production budgets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444444"/>
          <w:sz w:val="24"/>
        </w:rPr>
        <w:t xml:space="preserve">📌 </w:t>
      </w:r>
      <w:r>
        <w:rPr>
          <w:rFonts w:ascii="Times New Roman" w:hAnsi="Times New Roman" w:eastAsia="Times New Roman" w:cs="Times New Roman"/>
          <w:i/>
          <w:color w:val="444444"/>
          <w:sz w:val="22"/>
        </w:rPr>
        <w:t xml:space="preserve">Insight: The movie industry has undergone a structural shift toward high-budget, franchise-driven releases designed for global audiences. This shift is visible both in production count and average revenue trends.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9"/>
        <w:numPr>
          <w:ilvl w:val="0"/>
          <w:numId w:val="0"/>
        </w:num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333333"/>
          <w:sz w:val="26"/>
        </w:rPr>
        <w:t xml:space="preserve">5.7 Budget vs Revenue (Scatter Analysis)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A scatter plot of budget against revenue (after removing zero-value entries) reveals:</w:t>
      </w:r>
      <w:r>
        <w:rPr>
          <w:rFonts w:ascii="Times New Roman" w:hAnsi="Times New Roman" w:eastAsia="Times New Roman" w:cs="Times New Roman"/>
        </w:rPr>
      </w:r>
    </w:p>
    <w:p>
      <w:pPr>
        <w:pStyle w:val="664"/>
        <w:numPr>
          <w:ilvl w:val="0"/>
          <w:numId w:val="38"/>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 clear positive trend — higher budget movies tend to generate more revenue</w:t>
      </w:r>
      <w:r>
        <w:rPr>
          <w:rFonts w:ascii="Times New Roman" w:hAnsi="Times New Roman" w:eastAsia="Times New Roman" w:cs="Times New Roman"/>
        </w:rPr>
      </w:r>
    </w:p>
    <w:p>
      <w:pPr>
        <w:pStyle w:val="664"/>
        <w:numPr>
          <w:ilvl w:val="0"/>
          <w:numId w:val="38"/>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Significant variance exists at all budget levels — high budget does not guarantee high revenue</w:t>
      </w:r>
      <w:r>
        <w:rPr>
          <w:rFonts w:ascii="Times New Roman" w:hAnsi="Times New Roman" w:eastAsia="Times New Roman" w:cs="Times New Roman"/>
        </w:rPr>
      </w:r>
    </w:p>
    <w:p>
      <w:pPr>
        <w:pStyle w:val="664"/>
        <w:numPr>
          <w:ilvl w:val="0"/>
          <w:numId w:val="38"/>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 cluster of low-budget, low-revenue films forms the majority of the dataset</w:t>
      </w:r>
      <w:r>
        <w:rPr>
          <w:rFonts w:ascii="Times New Roman" w:hAnsi="Times New Roman" w:eastAsia="Times New Roman" w:cs="Times New Roman"/>
        </w:rPr>
      </w:r>
    </w:p>
    <w:p>
      <w:pPr>
        <w:pStyle w:val="664"/>
        <w:numPr>
          <w:ilvl w:val="0"/>
          <w:numId w:val="38"/>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 few outlier films achieve extremely high revenue relative to their budget (high ROI films)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444444"/>
          <w:sz w:val="24"/>
        </w:rPr>
        <w:t xml:space="preserve">📌 </w:t>
      </w:r>
      <w:r>
        <w:rPr>
          <w:rFonts w:ascii="Times New Roman" w:hAnsi="Times New Roman" w:eastAsia="Times New Roman" w:cs="Times New Roman"/>
          <w:i/>
          <w:color w:val="444444"/>
          <w:sz w:val="22"/>
        </w:rPr>
        <w:t xml:space="preserve">Insight: While budget and revenue are correlated, ROI analysis paints a different picture. Some low-budget films achieve extraordinary returns, making ROI a more complete measure of financial success than raw revenue alone.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8"/>
        <w:numPr>
          <w:ilvl w:val="0"/>
          <w:numId w:val="0"/>
        </w:numPr>
        <w:pBdr>
          <w:top w:val="none" w:color="000000" w:sz="4" w:space="0"/>
          <w:left w:val="none" w:color="000000" w:sz="4" w:space="0"/>
          <w:bottom w:val="single" w:color="f5c518" w:sz="6"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1f1f1f"/>
          <w:sz w:val="32"/>
        </w:rPr>
        <w:t xml:space="preserve">6. Key Insights Summary</w:t>
      </w:r>
      <w:r>
        <w:rPr>
          <w:rFonts w:ascii="Times New Roman" w:hAnsi="Times New Roman" w:eastAsia="Times New Roman" w:cs="Times New Roman"/>
        </w:rPr>
      </w:r>
    </w:p>
    <w:p>
      <w:pPr>
        <w:pStyle w:val="664"/>
        <w:numPr>
          <w:ilvl w:val="0"/>
          <w:numId w:val="3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Higher budgets are strongly associated with higher revenue — budget is the most powerful financial predictor in this dataset</w:t>
      </w:r>
      <w:r>
        <w:rPr>
          <w:rFonts w:ascii="Times New Roman" w:hAnsi="Times New Roman" w:eastAsia="Times New Roman" w:cs="Times New Roman"/>
        </w:rPr>
      </w:r>
    </w:p>
    <w:p>
      <w:pPr>
        <w:pStyle w:val="664"/>
        <w:numPr>
          <w:ilvl w:val="0"/>
          <w:numId w:val="3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 small number of blockbuster films dominate total revenue, creating a highly skewed distribution</w:t>
      </w:r>
      <w:r>
        <w:rPr>
          <w:rFonts w:ascii="Times New Roman" w:hAnsi="Times New Roman" w:eastAsia="Times New Roman" w:cs="Times New Roman"/>
        </w:rPr>
      </w:r>
    </w:p>
    <w:p>
      <w:pPr>
        <w:pStyle w:val="664"/>
        <w:numPr>
          <w:ilvl w:val="0"/>
          <w:numId w:val="3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Franchise films consistently outperform standalone productions in terms of box office revenue</w:t>
      </w:r>
      <w:r>
        <w:rPr>
          <w:rFonts w:ascii="Times New Roman" w:hAnsi="Times New Roman" w:eastAsia="Times New Roman" w:cs="Times New Roman"/>
        </w:rPr>
      </w:r>
    </w:p>
    <w:p>
      <w:pPr>
        <w:pStyle w:val="664"/>
        <w:numPr>
          <w:ilvl w:val="0"/>
          <w:numId w:val="3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Older films gain significantly more value after inflation adjustment — historical comparisons must use adjusted figures</w:t>
      </w:r>
      <w:r>
        <w:rPr>
          <w:rFonts w:ascii="Times New Roman" w:hAnsi="Times New Roman" w:eastAsia="Times New Roman" w:cs="Times New Roman"/>
        </w:rPr>
      </w:r>
    </w:p>
    <w:p>
      <w:pPr>
        <w:pStyle w:val="664"/>
        <w:numPr>
          <w:ilvl w:val="0"/>
          <w:numId w:val="3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Popularity correlates moderately with revenue, but ratings (vote_average) have a weak relationship with commercial success</w:t>
      </w:r>
      <w:r>
        <w:rPr>
          <w:rFonts w:ascii="Times New Roman" w:hAnsi="Times New Roman" w:eastAsia="Times New Roman" w:cs="Times New Roman"/>
        </w:rPr>
      </w:r>
    </w:p>
    <w:p>
      <w:pPr>
        <w:pStyle w:val="664"/>
        <w:numPr>
          <w:ilvl w:val="0"/>
          <w:numId w:val="3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Certain directors repeatedly produce high-revenue films, confirming the role of reputation and experience in box office success</w:t>
      </w:r>
      <w:r>
        <w:rPr>
          <w:rFonts w:ascii="Times New Roman" w:hAnsi="Times New Roman" w:eastAsia="Times New Roman" w:cs="Times New Roman"/>
        </w:rPr>
      </w:r>
    </w:p>
    <w:p>
      <w:pPr>
        <w:pStyle w:val="664"/>
        <w:numPr>
          <w:ilvl w:val="0"/>
          <w:numId w:val="3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Action is the highest-revenue genre on average; Drama is the most produced genre</w:t>
      </w:r>
      <w:r>
        <w:rPr>
          <w:rFonts w:ascii="Times New Roman" w:hAnsi="Times New Roman" w:eastAsia="Times New Roman" w:cs="Times New Roman"/>
        </w:rPr>
      </w:r>
    </w:p>
    <w:p>
      <w:pPr>
        <w:pStyle w:val="664"/>
        <w:numPr>
          <w:ilvl w:val="0"/>
          <w:numId w:val="39"/>
        </w:numPr>
        <w:pBdr>
          <w:top w:val="none" w:color="000000" w:sz="4" w:space="0"/>
          <w:left w:val="none" w:color="000000" w:sz="4" w:space="0"/>
          <w:bottom w:val="none" w:color="000000" w:sz="4" w:space="0"/>
          <w:right w:val="none" w:color="000000" w:sz="4" w:space="0"/>
        </w:pBdr>
        <w:spacing w:after="58" w:before="58" w:line="240" w:lineRule="auto"/>
        <w:ind w:right="0"/>
        <w:rPr>
          <w:rFonts w:ascii="Times New Roman" w:hAnsi="Times New Roman" w:cs="Times New Roman"/>
        </w:rPr>
      </w:pPr>
      <w:r>
        <w:rPr>
          <w:rFonts w:ascii="Times New Roman" w:hAnsi="Times New Roman" w:eastAsia="Times New Roman" w:cs="Times New Roman"/>
          <w:color w:val="1f1f1f"/>
          <w:sz w:val="22"/>
        </w:rPr>
        <w:t xml:space="preserve">Documentary receives the highest average rating but generates the lowest average revenue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Style w:val="138"/>
        <w:numPr>
          <w:ilvl w:val="0"/>
          <w:numId w:val="0"/>
        </w:numPr>
        <w:pBdr>
          <w:top w:val="none" w:color="000000" w:sz="4" w:space="0"/>
          <w:left w:val="none" w:color="000000" w:sz="4" w:space="0"/>
          <w:bottom w:val="single" w:color="f5c518" w:sz="6"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1f1f1f"/>
          <w:sz w:val="32"/>
        </w:rPr>
        <w:t xml:space="preserve">7. Conclusion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This analysis explored the IMDb/TMDB movie dataset to identify the key drivers of commercial success in the film industry. The dataset of 3,854 films spanning multiple decades provided a comprehensive view of how financial, audience, and production factors</w:t>
      </w:r>
      <w:r>
        <w:rPr>
          <w:rFonts w:ascii="Times New Roman" w:hAnsi="Times New Roman" w:eastAsia="Times New Roman" w:cs="Times New Roman"/>
          <w:color w:val="1f1f1f"/>
          <w:sz w:val="22"/>
        </w:rPr>
        <w:t xml:space="preserve"> interact.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Budget emerged as the single strongest predictor of box office revenue, though the relationship is not absolute — ROI analysis reveals that some lower-budget films achieve exceptional returns. The movie industry is highly concentrated, with a small number </w:t>
      </w:r>
      <w:r>
        <w:rPr>
          <w:rFonts w:ascii="Times New Roman" w:hAnsi="Times New Roman" w:eastAsia="Times New Roman" w:cs="Times New Roman"/>
          <w:color w:val="1f1f1f"/>
          <w:sz w:val="22"/>
        </w:rPr>
        <w:t xml:space="preserve">of blockbuster franchise films accounting for a disproportionate share of total revenue.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Director reputation plays a measurable role in commercial performance, with a consistent group of ten directors responsible for the highest-grossing films in the dataset. Genre analysis — after correctly handling multi-label genres — confirms that Action f</w:t>
      </w:r>
      <w:r>
        <w:rPr>
          <w:rFonts w:ascii="Times New Roman" w:hAnsi="Times New Roman" w:eastAsia="Times New Roman" w:cs="Times New Roman"/>
          <w:color w:val="1f1f1f"/>
          <w:sz w:val="22"/>
        </w:rPr>
        <w:t xml:space="preserve">ilms generate the highest average revenue despite not being the most frequently produced genre.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Inflation adjustment fundamentally changes the interpretation of historical data: classic films from the 1970s and earlier are significantly undervalued in raw revenue terms, and any meaningful long-term analysis must account for this. Finally, audience ra</w:t>
      </w:r>
      <w:r>
        <w:rPr>
          <w:rFonts w:ascii="Times New Roman" w:hAnsi="Times New Roman" w:eastAsia="Times New Roman" w:cs="Times New Roman"/>
          <w:color w:val="1f1f1f"/>
          <w:sz w:val="22"/>
        </w:rPr>
        <w:t xml:space="preserve">tings show a weak relationship with revenue, reinforcing that commercial success and perceived quality are distinct outcomes that do not always align.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86"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86" w:before="86" w:line="240" w:lineRule="auto"/>
        <w:ind w:right="0" w:firstLine="0" w:left="0"/>
        <w:jc w:val="both"/>
        <w:rPr>
          <w:rFonts w:ascii="Times New Roman" w:hAnsi="Times New Roman" w:cs="Times New Roman"/>
        </w:rPr>
      </w:pPr>
      <w:r>
        <w:rPr>
          <w:rFonts w:ascii="Times New Roman" w:hAnsi="Times New Roman" w:eastAsia="Times New Roman" w:cs="Times New Roman"/>
          <w:color w:val="1f1f1f"/>
          <w:sz w:val="22"/>
        </w:rPr>
        <w:t xml:space="preserve">These findings provide a solid foundation for future analytical work, including revenue prediction models, genre-based recommendation systems, and market trend forecasting.</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after="0" w:before="158" w:line="240" w:lineRule="auto"/>
        <w:ind w:right="0" w:firstLine="0" w:left="0"/>
        <w:rPr>
          <w:rFonts w:ascii="Times New Roman" w:hAnsi="Times New Roman" w:cs="Times New Roman"/>
        </w:rPr>
      </w:pPr>
      <w:r>
        <w:rPr>
          <w:rFonts w:ascii="Times New Roman" w:hAnsi="Times New Roman" w:eastAsia="Times New Roman" w:cs="Times New Roman"/>
          <w:sz w:val="24"/>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3."/>
      <w:numFmt w:val="none"/>
      <w:pPr>
        <w:pBdr/>
        <w:spacing/>
        <w:ind w:hanging="432" w:left="709"/>
      </w:pPr>
      <w:pStyle w:val="138"/>
      <w:rPr/>
      <w:start w:val="1"/>
      <w:suff w:val="tab"/>
    </w:lvl>
    <w:lvl w:ilvl="1">
      <w:isLgl w:val="false"/>
      <w:lvlJc w:val="left"/>
      <w:lvlText w:val="%1.%2."/>
      <w:numFmt w:val="decimal"/>
      <w:pPr>
        <w:pBdr/>
        <w:spacing/>
        <w:ind w:hanging="576" w:left="853"/>
      </w:pPr>
      <w:pStyle w:val="139"/>
      <w:rPr/>
      <w:start w:val="1"/>
      <w:suff w:val="tab"/>
    </w:lvl>
    <w:lvl w:ilvl="2">
      <w:isLgl w:val="false"/>
      <w:lvlJc w:val="left"/>
      <w:lvlText w:val="%1.%2.%3."/>
      <w:numFmt w:val="decimal"/>
      <w:pPr>
        <w:pBdr/>
        <w:spacing/>
        <w:ind w:hanging="720" w:left="997"/>
      </w:pPr>
      <w:pStyle w:val="140"/>
      <w:rPr/>
      <w:start w:val="1"/>
      <w:suff w:val="tab"/>
    </w:lvl>
    <w:lvl w:ilvl="3">
      <w:isLgl w:val="false"/>
      <w:lvlJc w:val="left"/>
      <w:lvlText w:val="%1.%2.%3.%4."/>
      <w:numFmt w:val="decimal"/>
      <w:pPr>
        <w:pBdr/>
        <w:spacing/>
        <w:ind w:hanging="864" w:left="1141"/>
      </w:pPr>
      <w:pStyle w:val="141"/>
      <w:rPr/>
      <w:start w:val="1"/>
      <w:suff w:val="tab"/>
    </w:lvl>
    <w:lvl w:ilvl="4">
      <w:isLgl w:val="false"/>
      <w:lvlJc w:val="left"/>
      <w:lvlText w:val="%1.%2.%3.%4.%5."/>
      <w:numFmt w:val="decimal"/>
      <w:pPr>
        <w:pBdr/>
        <w:spacing/>
        <w:ind w:hanging="1008" w:left="1285"/>
      </w:pPr>
      <w:pStyle w:val="142"/>
      <w:rPr/>
      <w:start w:val="1"/>
      <w:suff w:val="tab"/>
    </w:lvl>
    <w:lvl w:ilvl="5">
      <w:isLgl w:val="false"/>
      <w:lvlJc w:val="left"/>
      <w:lvlText w:val="%1.%2.%3.%4.%5.%6."/>
      <w:numFmt w:val="decimal"/>
      <w:pPr>
        <w:pBdr/>
        <w:spacing/>
        <w:ind w:hanging="1152" w:left="1429"/>
      </w:pPr>
      <w:pStyle w:val="143"/>
      <w:rPr/>
      <w:start w:val="1"/>
      <w:suff w:val="tab"/>
    </w:lvl>
    <w:lvl w:ilvl="6">
      <w:isLgl w:val="false"/>
      <w:lvlJc w:val="left"/>
      <w:lvlText w:val="%1.%2.%3.%4.%5.%6.%7."/>
      <w:numFmt w:val="decimal"/>
      <w:pPr>
        <w:pBdr/>
        <w:spacing/>
        <w:ind w:hanging="1296" w:left="1573"/>
      </w:pPr>
      <w:pStyle w:val="144"/>
      <w:rPr/>
      <w:start w:val="1"/>
      <w:suff w:val="tab"/>
    </w:lvl>
    <w:lvl w:ilvl="7">
      <w:isLgl w:val="false"/>
      <w:lvlJc w:val="left"/>
      <w:lvlText w:val="%1.%2.%3.%4.%5.%6.%7.%8."/>
      <w:numFmt w:val="decimal"/>
      <w:pPr>
        <w:pBdr/>
        <w:spacing/>
        <w:ind w:hanging="1440" w:left="1717"/>
      </w:pPr>
      <w:pStyle w:val="145"/>
      <w:rPr/>
      <w:start w:val="1"/>
      <w:suff w:val="tab"/>
    </w:lvl>
    <w:lvl w:ilvl="8">
      <w:isLgl w:val="false"/>
      <w:lvlJc w:val="left"/>
      <w:lvlText w:val="%1.%2.%3.%4.%5.%6.%7.%8.%9."/>
      <w:numFmt w:val="decimal"/>
      <w:pPr>
        <w:pBdr/>
        <w:spacing/>
        <w:ind w:hanging="1584" w:left="1861"/>
      </w:pPr>
      <w:pStyle w:val="146"/>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30">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31">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33">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34">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color w:val="1f1f1f"/>
        <w:sz w:val="22"/>
      </w:rPr>
      <w:start w:val="1"/>
      <w:suff w:val="tab"/>
    </w:lvl>
    <w:lvl w:ilvl="1">
      <w:isLgl w:val="false"/>
      <w:lvlJc w:val="left"/>
      <w:lvlText w:val="·"/>
      <w:numFmt w:val="bullet"/>
      <w:pPr>
        <w:pBdr/>
        <w:spacing/>
        <w:ind w:hanging="360" w:left="1429"/>
      </w:pPr>
      <w:rPr>
        <w:rFonts w:hint="default" w:ascii="Symbol" w:hAnsi="Symbol" w:eastAsia="Symbol" w:cs="Symbol"/>
        <w:color w:val="1f1f1f"/>
        <w:sz w:val="22"/>
      </w:rPr>
      <w:start w:val="1"/>
      <w:suff w:val="tab"/>
    </w:lvl>
    <w:lvl w:ilvl="2">
      <w:isLgl w:val="false"/>
      <w:lvlJc w:val="left"/>
      <w:lvlText w:val="·"/>
      <w:numFmt w:val="bullet"/>
      <w:pPr>
        <w:pBdr/>
        <w:spacing/>
        <w:ind w:hanging="360" w:left="2149"/>
      </w:pPr>
      <w:rPr>
        <w:rFonts w:hint="default" w:ascii="Symbol" w:hAnsi="Symbol" w:eastAsia="Symbol" w:cs="Symbol"/>
        <w:color w:val="1f1f1f"/>
        <w:sz w:val="22"/>
      </w:rPr>
      <w:start w:val="1"/>
      <w:suff w:val="tab"/>
    </w:lvl>
    <w:lvl w:ilvl="3">
      <w:isLgl w:val="false"/>
      <w:lvlJc w:val="left"/>
      <w:lvlText w:val="·"/>
      <w:numFmt w:val="bullet"/>
      <w:pPr>
        <w:pBdr/>
        <w:spacing/>
        <w:ind w:hanging="360" w:left="2869"/>
      </w:pPr>
      <w:rPr>
        <w:rFonts w:hint="default" w:ascii="Symbol" w:hAnsi="Symbol" w:eastAsia="Symbol" w:cs="Symbol"/>
        <w:color w:val="1f1f1f"/>
        <w:sz w:val="22"/>
      </w:rPr>
      <w:start w:val="1"/>
      <w:suff w:val="tab"/>
    </w:lvl>
    <w:lvl w:ilvl="4">
      <w:isLgl w:val="false"/>
      <w:lvlJc w:val="left"/>
      <w:lvlText w:val="·"/>
      <w:numFmt w:val="bullet"/>
      <w:pPr>
        <w:pBdr/>
        <w:spacing/>
        <w:ind w:hanging="360" w:left="3589"/>
      </w:pPr>
      <w:rPr>
        <w:rFonts w:hint="default" w:ascii="Symbol" w:hAnsi="Symbol" w:eastAsia="Symbol" w:cs="Symbol"/>
        <w:color w:val="1f1f1f"/>
        <w:sz w:val="22"/>
      </w:rPr>
      <w:start w:val="1"/>
      <w:suff w:val="tab"/>
    </w:lvl>
    <w:lvl w:ilvl="5">
      <w:isLgl w:val="false"/>
      <w:lvlJc w:val="left"/>
      <w:lvlText w:val="·"/>
      <w:numFmt w:val="bullet"/>
      <w:pPr>
        <w:pBdr/>
        <w:spacing/>
        <w:ind w:hanging="360" w:left="4309"/>
      </w:pPr>
      <w:rPr>
        <w:rFonts w:hint="default" w:ascii="Symbol" w:hAnsi="Symbol" w:eastAsia="Symbol" w:cs="Symbol"/>
        <w:color w:val="1f1f1f"/>
        <w:sz w:val="22"/>
      </w:rPr>
      <w:start w:val="1"/>
      <w:suff w:val="tab"/>
    </w:lvl>
    <w:lvl w:ilvl="6">
      <w:isLgl w:val="false"/>
      <w:lvlJc w:val="left"/>
      <w:lvlText w:val="·"/>
      <w:numFmt w:val="bullet"/>
      <w:pPr>
        <w:pBdr/>
        <w:spacing/>
        <w:ind w:hanging="360" w:left="5029"/>
      </w:pPr>
      <w:rPr>
        <w:rFonts w:hint="default" w:ascii="Symbol" w:hAnsi="Symbol" w:eastAsia="Symbol" w:cs="Symbol"/>
        <w:color w:val="1f1f1f"/>
        <w:sz w:val="22"/>
      </w:rPr>
      <w:start w:val="1"/>
      <w:suff w:val="tab"/>
    </w:lvl>
    <w:lvl w:ilvl="7">
      <w:isLgl w:val="false"/>
      <w:lvlJc w:val="left"/>
      <w:lvlText w:val="·"/>
      <w:numFmt w:val="bullet"/>
      <w:pPr>
        <w:pBdr/>
        <w:spacing/>
        <w:ind w:hanging="360" w:left="5749"/>
      </w:pPr>
      <w:rPr>
        <w:rFonts w:hint="default" w:ascii="Symbol" w:hAnsi="Symbol" w:eastAsia="Symbol" w:cs="Symbol"/>
        <w:color w:val="1f1f1f"/>
        <w:sz w:val="22"/>
      </w:rPr>
      <w:start w:val="1"/>
      <w:suff w:val="tab"/>
    </w:lvl>
    <w:lvl w:ilvl="8">
      <w:isLgl w:val="false"/>
      <w:lvlJc w:val="left"/>
      <w:lvlText w:val="·"/>
      <w:numFmt w:val="bullet"/>
      <w:pPr>
        <w:pBdr/>
        <w:spacing/>
        <w:ind w:hanging="360" w:left="6469"/>
      </w:pPr>
      <w:rPr>
        <w:rFonts w:hint="default" w:ascii="Symbol" w:hAnsi="Symbol" w:eastAsia="Symbol" w:cs="Symbol"/>
        <w:color w:val="1f1f1f"/>
        <w:sz w:val="22"/>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numPr>
        <w:ilvl w:val="0"/>
        <w:numId w:val="1"/>
      </w:numPr>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numPr>
        <w:ilvl w:val="1"/>
        <w:numId w:val="1"/>
      </w:numPr>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numPr>
        <w:ilvl w:val="2"/>
        <w:numId w:val="1"/>
      </w:numPr>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numPr>
        <w:ilvl w:val="3"/>
        <w:numId w:val="1"/>
      </w:numPr>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numPr>
        <w:ilvl w:val="4"/>
        <w:numId w:val="1"/>
      </w:numPr>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numPr>
        <w:ilvl w:val="5"/>
        <w:numId w:val="1"/>
      </w:numPr>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numPr>
        <w:ilvl w:val="6"/>
        <w:numId w:val="1"/>
      </w:numPr>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numPr>
        <w:ilvl w:val="7"/>
        <w:numId w:val="1"/>
      </w:numPr>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numPr>
        <w:ilvl w:val="8"/>
        <w:numId w:val="1"/>
      </w:numPr>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2026-04-13T14:07:51Z</dcterms:modified>
</cp:coreProperties>
</file>