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/>
        <w:ind/>
        <w:jc w:val="center"/>
        <w:rPr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highlight w:val="none"/>
          <w:u w:val="single"/>
        </w:rPr>
        <w:t xml:space="preserve">Telco Customer Churn Analysis</w:t>
      </w:r>
      <w:r>
        <w:rPr>
          <w:b/>
          <w:bCs/>
          <w:sz w:val="40"/>
          <w:szCs w:val="40"/>
          <w:u w:val="single"/>
        </w:rPr>
      </w:r>
    </w:p>
    <w:p>
      <w:pPr>
        <w:pStyle w:val="885"/>
        <w:numPr>
          <w:ilvl w:val="0"/>
          <w:numId w:val="1"/>
        </w:numPr>
        <w:pBdr/>
        <w:spacing w:after="0" w:afterAutospacing="0"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 xml:space="preserve">Dataset Description</w:t>
      </w:r>
      <w:r>
        <w:rPr>
          <w:b/>
          <w:bCs/>
          <w:sz w:val="32"/>
          <w:szCs w:val="32"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This analysis uses the Telco Customer Churn dataset, originally provided by IBM and accessed via Kaggle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(https://www.kaggle.com/datasets/blastchar/telco-customer-churn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).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The dataset contains customer demographic information, service subscriptions, billing details, and churn outcomes. Key variables describe customer tenure, contract type, internet and phone services, add-on features, and billing characteristics. The target v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ariable, Churn, indicates whether a customer discontinued the service.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Several service-related variables include a third category, “No internet service”, representing customers without internet subscriptions. This category was retained as a distinct group to preserve meaningful differences between customers who do not subscrib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e to a service and those who do not have access to the service.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The target variable Churn is imbalanced, with the majority of customers remaining with the company. This reflects a realistic business scenario in which churn events occur less frequently than customer retention.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885"/>
        <w:numPr>
          <w:ilvl w:val="0"/>
          <w:numId w:val="2"/>
        </w:numPr>
        <w:pBdr/>
        <w:spacing w:after="0" w:afterAutospacing="0"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 xml:space="preserve">Exploratory Data Analysis (EDA)</w:t>
      </w:r>
      <w:r>
        <w:rPr>
          <w:b/>
          <w:bCs/>
          <w:sz w:val="32"/>
          <w:szCs w:val="32"/>
        </w:rPr>
      </w:r>
    </w:p>
    <w:p>
      <w:pPr>
        <w:pStyle w:val="885"/>
        <w:numPr>
          <w:ilvl w:val="0"/>
          <w:numId w:val="9"/>
        </w:numPr>
        <w:pBdr/>
        <w:spacing w:after="0" w:afterAutospacing="0"/>
        <w:ind/>
        <w:jc w:val="left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Descriptive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Statistics</w:t>
      </w:r>
      <w:r>
        <w:rPr>
          <w:b/>
          <w:bCs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Descriptive statistics for numerical variables reveal substantial variability across customers. Customer tenure ranges from 1 to 72 months, reflecting both newly acquired and long-term customers. MonthlyCharges and TotalCharges exhibit wide ranges and relat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ively large standard deviations, indicating heterogeneous pricing structures and service usage patterns.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The mean and median values of MonthlyCharges are relatively close, suggesting moderate skewness. In contrast, TotalCharges shows a noticeably higher mean than median, consistent with a right-skewed distribution driven by long-tenure customers with accumulat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ed charges. These patterns suggest the presence of distinct customer segments, motivating further group-based analysis related to churn behavior.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885"/>
        <w:numPr>
          <w:ilvl w:val="0"/>
          <w:numId w:val="8"/>
        </w:numPr>
        <w:pBdr/>
        <w:spacing w:after="0" w:afterAutospacing="0"/>
        <w:ind/>
        <w:jc w:val="left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Distributional Insights</w:t>
      </w:r>
      <w:r>
        <w:rPr>
          <w:b/>
          <w:bCs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Tenure</w:t>
      </w:r>
      <w:r>
        <w:rPr>
          <w:b/>
          <w:bCs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Strong right-skewed distribution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Large proportion of new customers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Smaller group of long-term, loyal customers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MonthlyCharges</w:t>
      </w:r>
      <w:r>
        <w:rPr>
          <w:b/>
          <w:bCs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Multi-modal distribution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Reflects different service bundles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Higher charges likely associated with fiber-optic internet and add-on services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TotalCharges</w:t>
      </w:r>
      <w:r>
        <w:rPr>
          <w:b/>
          <w:bCs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Strong right-skewed distribution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Accumulates over time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Closely related to customer tenure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885"/>
        <w:numPr>
          <w:ilvl w:val="0"/>
          <w:numId w:val="3"/>
        </w:numPr>
        <w:pBdr/>
        <w:spacing w:after="0" w:afterAutospacing="0"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 xml:space="preserve">Statistical Inference</w:t>
      </w:r>
      <w:r>
        <w:rPr>
          <w:b/>
          <w:bCs/>
          <w:sz w:val="32"/>
          <w:szCs w:val="32"/>
        </w:rPr>
      </w:r>
    </w:p>
    <w:p>
      <w:pPr>
        <w:pStyle w:val="885"/>
        <w:numPr>
          <w:ilvl w:val="0"/>
          <w:numId w:val="7"/>
        </w:numPr>
        <w:pBdr/>
        <w:spacing w:after="0" w:afterAutospacing="0"/>
        <w:ind/>
        <w:jc w:val="left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ANOVA Test</w:t>
      </w:r>
      <w:r>
        <w:rPr>
          <w:b/>
          <w:bCs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Null Hypothesis (H₀):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The mean MonthlyCharges is the same across all contract types.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Alternative Hypothesis (H₁):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At least one contract type has a different mean MonthlyCharges.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885"/>
        <w:numPr>
          <w:ilvl w:val="0"/>
          <w:numId w:val="5"/>
        </w:num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Results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 one-way ANOVA revealed a statistically significant difference in mean MonthlyCharges across contract types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(F = 19.99, p &lt; 0.001), indicating that pricing varies depending on contract duration.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885"/>
        <w:numPr>
          <w:ilvl w:val="0"/>
          <w:numId w:val="6"/>
        </w:numPr>
        <w:pBdr/>
        <w:spacing w:after="0" w:afterAutospacing="0"/>
        <w:ind/>
        <w:jc w:val="left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Post-hoc Analysis (Tukey HSD)</w:t>
      </w:r>
      <w:r>
        <w:rPr>
          <w:b/>
          <w:bCs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 Tukey HSD post-hoc test was conducted to identify specific pairwise differences between contract types. The results indicate that customers on two-year contracts pay significantly lower monthly charges than customers on month-to-month or one-year contract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s, while no statistically significant difference was observed between month-to-month and one-year plans.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These findings suggest that longer contract commitments are associated with discounted monthly pricing, which may serve as a strategic mechanism to encourage customer retention and reduce churn.</w:t>
      </w:r>
      <w:r/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885"/>
        <w:numPr>
          <w:ilvl w:val="0"/>
          <w:numId w:val="4"/>
        </w:numPr>
        <w:pBdr/>
        <w:spacing w:after="0" w:afterAutospacing="0"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 xml:space="preserve">Conclusion</w:t>
      </w:r>
      <w:r>
        <w:rPr>
          <w:b/>
          <w:bCs/>
          <w:sz w:val="32"/>
          <w:szCs w:val="32"/>
        </w:rPr>
      </w:r>
    </w:p>
    <w:p>
      <w:pPr>
        <w:pBdr/>
        <w:spacing w:after="0" w:afterAutospacing="0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Bdr/>
        <w:spacing w:after="0" w:afterAutospacing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This analysis demonstrates that contract type plays a significant role in determining monthly charges. Customers with longer-term contracts benefit from lower pricing, which may contribute to increased customer loyalty. These insights highlight the importan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ce of contract-based pricing strategies in churn reduction efforts and provide actionable guidance for customer retention initiatives.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2025-12-29T12:26:28Z</dcterms:modified>
</cp:coreProperties>
</file>