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Web API, Knockout.js and SQL</w:t>
      </w:r>
      <w:r>
        <w:rPr>
          <w:rFonts w:hint="default"/>
          <w:vertAlign w:val="baseline"/>
          <w:rtl w:val="0"/>
        </w:rPr>
        <w:t>. Work examples include: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ponents of a web application that tracked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 injuries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omponents of a web application that displayed real-time NFL game statistics using SignalR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ooking up location information from the cloud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AWS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Amazon EC2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-enabled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application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components including uploading and downloading files, creating images and instances, remotely starting new servers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racking 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revenues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by connecting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displaying data using Highcharts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Incorporating responsive design to support mobile browsers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  <w:bookmarkStart w:id="1" w:name="_GoBack"/>
      <w:bookmarkEnd w:id="1"/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324550A2"/>
    <w:rsid w:val="343F3677"/>
    <w:rsid w:val="41336F0E"/>
    <w:rsid w:val="450B1DD2"/>
    <w:rsid w:val="45923456"/>
    <w:rsid w:val="4BDE4991"/>
    <w:rsid w:val="4FD850BB"/>
    <w:rsid w:val="50CD32B6"/>
    <w:rsid w:val="5C76269E"/>
    <w:rsid w:val="67A93CB5"/>
    <w:rsid w:val="73D17A4B"/>
    <w:rsid w:val="79CE3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2019-10-11T23:36:59Z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