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{Mallika}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{Jasminum sambac}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{Oleaceae 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{மல்லிகை}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{Malli}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{Mallika}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{Jasmine 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{A woody twining shrub with opposite leaves and fragrant white flower,Leaves -simple ,ovate</w:t>
        <w:br/>
        <w:t>elliptic ,shiny green.Flowers -white ,highly fragrant,tubular with 5 - 8 lobs bloom mostly at night or early morning.Fruit - small black berry (Rarely seen in cultivated plants ) Flowering season - Through out the year ,more during summer and monsoon 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{Flowers , root ,leaves 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 xml:space="preserve">{1.Helps to cure bleeding disorder </w:t>
        <w:br/>
        <w:t xml:space="preserve">2.Improves the skin complexion </w:t>
        <w:br/>
        <w:t>3.Reduces inflammation and swelling 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 xml:space="preserve">{1.Anti oxidant </w:t>
        <w:br/>
        <w:t xml:space="preserve">2.Anti depressant </w:t>
        <w:br/>
        <w:t xml:space="preserve">3.Anti inflammatory </w:t>
        <w:br/>
        <w:t>4.Anti pyretic 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{Tikta, kashaya 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 , Ruksha 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{Sheeta}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{Tridoshahara 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